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A7" w:rsidRPr="00A67108" w:rsidRDefault="007B3BF3" w:rsidP="00AD7BA7">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Постановление №24</w:t>
      </w:r>
    </w:p>
    <w:p w:rsidR="00AD7BA7" w:rsidRPr="00A67108" w:rsidRDefault="007B3BF3" w:rsidP="00AD7BA7">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Форма п.20.подп.б</w:t>
      </w:r>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 xml:space="preserve">      Форма раскрытия информации</w:t>
      </w:r>
    </w:p>
    <w:p w:rsidR="00AD7BA7" w:rsidRPr="00A67108" w:rsidRDefault="007B3BF3" w:rsidP="00A61716">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 xml:space="preserve"> гарантирующим поставщиком основных условиях договора</w:t>
      </w:r>
    </w:p>
    <w:p w:rsidR="00AD7BA7" w:rsidRPr="00A67108" w:rsidRDefault="007B3BF3" w:rsidP="00AD7BA7">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купли – продажи электрической энергии  (энергоснабжения)</w:t>
      </w:r>
    </w:p>
    <w:p w:rsidR="00AD7BA7" w:rsidRPr="00A67108" w:rsidRDefault="00A67108" w:rsidP="00AD7BA7">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CellMar>
          <w:top w:w="75" w:type="dxa"/>
          <w:left w:w="0" w:type="dxa"/>
          <w:bottom w:w="75" w:type="dxa"/>
          <w:right w:w="0" w:type="dxa"/>
        </w:tblCellMar>
        <w:tblLook w:val="0000"/>
      </w:tblPr>
      <w:tblGrid>
        <w:gridCol w:w="1867"/>
        <w:gridCol w:w="1158"/>
        <w:gridCol w:w="2865"/>
        <w:gridCol w:w="8849"/>
      </w:tblGrid>
      <w:tr w:rsidR="00A67108" w:rsidRPr="00A67108" w:rsidTr="00D81C6B">
        <w:trPr>
          <w:trHeight w:val="1575"/>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5619C8" w:rsidRPr="00A67108" w:rsidRDefault="00A67108" w:rsidP="005619C8">
            <w:pPr>
              <w:widowControl w:val="0"/>
              <w:autoSpaceDE w:val="0"/>
              <w:autoSpaceDN w:val="0"/>
              <w:adjustRightInd w:val="0"/>
              <w:spacing w:after="0" w:line="240" w:lineRule="auto"/>
              <w:rPr>
                <w:rFonts w:ascii="Times New Roman" w:hAnsi="Times New Roman" w:cs="Times New Roman"/>
                <w:b/>
                <w:sz w:val="20"/>
                <w:szCs w:val="20"/>
              </w:rPr>
            </w:pPr>
          </w:p>
          <w:p w:rsidR="00AD7BA7" w:rsidRPr="00A67108" w:rsidRDefault="007B3BF3" w:rsidP="005619C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Основные условия договора купли-продажи электрической энергии (энергоснабжения)</w:t>
            </w: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A6171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A6171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A6171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A6171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746EF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746EF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746EF6" w:rsidRPr="00A67108" w:rsidRDefault="00A67108" w:rsidP="00CF79E8">
            <w:pPr>
              <w:widowControl w:val="0"/>
              <w:autoSpaceDE w:val="0"/>
              <w:autoSpaceDN w:val="0"/>
              <w:adjustRightInd w:val="0"/>
              <w:spacing w:after="0" w:line="240" w:lineRule="auto"/>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0D008E"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605728"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CF79E8">
            <w:pPr>
              <w:widowControl w:val="0"/>
              <w:autoSpaceDE w:val="0"/>
              <w:autoSpaceDN w:val="0"/>
              <w:adjustRightInd w:val="0"/>
              <w:spacing w:after="0" w:line="240" w:lineRule="auto"/>
              <w:jc w:val="center"/>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1A04D0" w:rsidRPr="00A67108" w:rsidRDefault="00A67108" w:rsidP="001A04D0">
            <w:pPr>
              <w:widowControl w:val="0"/>
              <w:autoSpaceDE w:val="0"/>
              <w:autoSpaceDN w:val="0"/>
              <w:adjustRightInd w:val="0"/>
              <w:spacing w:after="0" w:line="240" w:lineRule="auto"/>
              <w:rPr>
                <w:rFonts w:ascii="Times New Roman" w:hAnsi="Times New Roman" w:cs="Times New Roman"/>
                <w:b/>
                <w:sz w:val="20"/>
                <w:szCs w:val="20"/>
              </w:rPr>
            </w:pPr>
          </w:p>
          <w:p w:rsidR="000D008E" w:rsidRPr="00A67108" w:rsidRDefault="00A67108" w:rsidP="00605728">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w:t>
            </w:r>
          </w:p>
        </w:tc>
      </w:tr>
      <w:tr w:rsidR="00A67108" w:rsidRPr="00A67108" w:rsidTr="00A45F79">
        <w:trPr>
          <w:trHeight w:val="2098"/>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Э</w:t>
            </w:r>
            <w:r w:rsidRPr="00A67108">
              <w:rPr>
                <w:rFonts w:ascii="Times New Roman" w:hAnsi="Times New Roman" w:cs="Times New Roman"/>
                <w:sz w:val="20"/>
                <w:szCs w:val="20"/>
              </w:rPr>
              <w:t>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 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действующим законодательством. Энергосбытовые (энергоснабжающие) организации продают электрическую энергию (мощность) по свободным нерегулируемым ценам.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Оплата потребителями (покупателями)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обязательств сторон по договору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646C" w:rsidRPr="00A67108" w:rsidRDefault="007B3BF3" w:rsidP="001A04D0">
            <w:pPr>
              <w:jc w:val="both"/>
              <w:rPr>
                <w:rFonts w:ascii="Times New Roman" w:hAnsi="Times New Roman" w:cs="Times New Roman"/>
                <w:bCs/>
                <w:sz w:val="20"/>
                <w:szCs w:val="20"/>
              </w:rPr>
            </w:pPr>
            <w:r w:rsidRPr="00A67108">
              <w:rPr>
                <w:rFonts w:ascii="Times New Roman" w:hAnsi="Times New Roman" w:cs="Times New Roman"/>
                <w:bCs/>
                <w:sz w:val="20"/>
                <w:szCs w:val="20"/>
              </w:rPr>
              <w:t>В общем порядке - по соглашению  сторон.</w:t>
            </w:r>
          </w:p>
          <w:p w:rsidR="00746EF6"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bCs/>
                <w:sz w:val="20"/>
                <w:szCs w:val="20"/>
              </w:rPr>
              <w:t>Законодательством об электроэнергетике предусмотрена обязанность потребителей электрической энергии</w:t>
            </w:r>
            <w:r w:rsidRPr="00A67108">
              <w:rPr>
                <w:rFonts w:ascii="Times New Roman" w:hAnsi="Times New Roman" w:cs="Times New Roman"/>
                <w:sz w:val="20"/>
                <w:szCs w:val="20"/>
              </w:rPr>
              <w:t xml:space="preserve">, ограничение режима потребления которых может привести к экономическим, экологическим или социальным последствиям, </w:t>
            </w:r>
            <w:r w:rsidRPr="00A67108">
              <w:rPr>
                <w:rFonts w:ascii="Times New Roman" w:hAnsi="Times New Roman" w:cs="Times New Roman"/>
                <w:bCs/>
                <w:sz w:val="20"/>
                <w:szCs w:val="20"/>
              </w:rPr>
              <w:t>предоставлять обеспечение исполнения обязательств по оплате электрической энергии (мощности)</w:t>
            </w:r>
            <w:r w:rsidRPr="00A67108">
              <w:rPr>
                <w:rFonts w:ascii="Times New Roman" w:hAnsi="Times New Roman" w:cs="Times New Roman"/>
                <w:sz w:val="20"/>
                <w:szCs w:val="20"/>
              </w:rPr>
              <w:t>, в виде независимой гарантии, выдаваемой банком (банковской гарантии), если иное не согласовано сторонами.</w:t>
            </w:r>
          </w:p>
          <w:p w:rsidR="004C471C" w:rsidRPr="00A67108" w:rsidRDefault="007B3BF3" w:rsidP="00D97F3C">
            <w:pPr>
              <w:jc w:val="both"/>
              <w:rPr>
                <w:rFonts w:ascii="Times New Roman" w:hAnsi="Times New Roman" w:cs="Times New Roman"/>
                <w:sz w:val="20"/>
                <w:szCs w:val="20"/>
              </w:rPr>
            </w:pPr>
            <w:r w:rsidRPr="00A67108">
              <w:rPr>
                <w:rFonts w:ascii="Times New Roman" w:hAnsi="Times New Roman" w:cs="Times New Roman"/>
                <w:sz w:val="20"/>
                <w:szCs w:val="20"/>
              </w:rPr>
              <w:t>Данная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975708" w:rsidRPr="00A67108" w:rsidRDefault="007B3BF3"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Условие о форме обеспечения исполнения обязательств по договору в отношении бюджетных организаций, применяется с учетом положений законодательства, регулирующего закупки товаров (работ, услуг) для обеспечения государственных и муниципальных нужд.</w:t>
            </w:r>
          </w:p>
          <w:p w:rsidR="004C471C" w:rsidRDefault="00A67108"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67108" w:rsidRPr="00A67108" w:rsidRDefault="00A67108" w:rsidP="00975708">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745D4" w:rsidRPr="00A67108" w:rsidRDefault="007B3BF3" w:rsidP="0062265A">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A67108">
              <w:rPr>
                <w:rFonts w:ascii="Times New Roman" w:hAnsi="Times New Roman" w:cs="Times New Roman"/>
                <w:color w:val="000000"/>
                <w:sz w:val="20"/>
                <w:szCs w:val="20"/>
              </w:rPr>
              <w:lastRenderedPageBreak/>
              <w:t xml:space="preserve">Законодательством об электроэнергетике и жилищным законодательством предусмотрена обязанность по оплате  пени как  форма обеспечения обязательств  в случае если потребитель или покупатель электрической энергии несвоевременно и (или) не полностью оплатил гарантирующему поставщику потребленную электрическую энергию. Порядок расчета и оплаты, размер пени определяется в зависимости от категории потребителя и  указаны в Федеральном законе «Об электроэнергетике» </w:t>
            </w:r>
            <w:r w:rsidRPr="00A67108">
              <w:rPr>
                <w:rFonts w:ascii="Times New Roman" w:hAnsi="Times New Roman" w:cs="Times New Roman"/>
                <w:sz w:val="20"/>
                <w:szCs w:val="20"/>
              </w:rPr>
              <w:t>от 26.03.2003 N 35-ФЗ</w:t>
            </w:r>
            <w:r w:rsidRPr="00A67108">
              <w:rPr>
                <w:rFonts w:ascii="Times New Roman" w:hAnsi="Times New Roman" w:cs="Times New Roman"/>
                <w:color w:val="000000"/>
                <w:sz w:val="20"/>
                <w:szCs w:val="20"/>
              </w:rPr>
              <w:t xml:space="preserve"> и Жилищном кодексе Российской Федерации.</w:t>
            </w:r>
          </w:p>
        </w:tc>
      </w:tr>
      <w:tr w:rsidR="00A67108" w:rsidRPr="00A67108" w:rsidTr="00AD1DEF">
        <w:trPr>
          <w:trHeight w:val="1513"/>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A67108">
            <w:pPr>
              <w:jc w:val="both"/>
              <w:rPr>
                <w:rFonts w:ascii="Times New Roman" w:hAnsi="Times New Roman" w:cs="Times New Roman"/>
                <w:bCs/>
                <w:sz w:val="20"/>
                <w:szCs w:val="20"/>
              </w:rPr>
            </w:pPr>
            <w:r w:rsidRPr="00A67108">
              <w:rPr>
                <w:rFonts w:ascii="Times New Roman" w:hAnsi="Times New Roman" w:cs="Times New Roman"/>
                <w:bCs/>
                <w:sz w:val="20"/>
                <w:szCs w:val="20"/>
              </w:rPr>
              <w:t xml:space="preserve">гарантирующий поставщик на территории </w:t>
            </w:r>
            <w:r w:rsidR="004A5AB5" w:rsidRPr="00A67108">
              <w:rPr>
                <w:rFonts w:ascii="Times New Roman" w:hAnsi="Times New Roman" w:cs="Times New Roman"/>
                <w:bCs/>
                <w:sz w:val="20"/>
                <w:szCs w:val="20"/>
              </w:rPr>
              <w:t xml:space="preserve">МО г.Салехард и </w:t>
            </w:r>
            <w:proofErr w:type="spellStart"/>
            <w:r w:rsidR="004A5AB5" w:rsidRPr="00A67108">
              <w:rPr>
                <w:rFonts w:ascii="Times New Roman" w:hAnsi="Times New Roman" w:cs="Times New Roman"/>
                <w:bCs/>
                <w:sz w:val="20"/>
                <w:szCs w:val="20"/>
              </w:rPr>
              <w:t>п.Горнокнязевск</w:t>
            </w:r>
            <w:proofErr w:type="spellEnd"/>
            <w:r w:rsidRPr="00A67108">
              <w:rPr>
                <w:rFonts w:ascii="Times New Roman" w:hAnsi="Times New Roman" w:cs="Times New Roman"/>
                <w:bCs/>
                <w:sz w:val="20"/>
                <w:szCs w:val="20"/>
              </w:rPr>
              <w:t xml:space="preserve"> - в рамках административных границ </w:t>
            </w:r>
            <w:r w:rsidR="00C243F6" w:rsidRPr="00A67108">
              <w:rPr>
                <w:rFonts w:ascii="Times New Roman" w:hAnsi="Times New Roman" w:cs="Times New Roman"/>
                <w:bCs/>
                <w:sz w:val="20"/>
                <w:szCs w:val="20"/>
              </w:rPr>
              <w:t xml:space="preserve">на территории муниципального образования город Салехард (за исключением поселка </w:t>
            </w:r>
            <w:proofErr w:type="spellStart"/>
            <w:r w:rsidR="00C243F6" w:rsidRPr="00A67108">
              <w:rPr>
                <w:rFonts w:ascii="Times New Roman" w:hAnsi="Times New Roman" w:cs="Times New Roman"/>
                <w:bCs/>
                <w:sz w:val="20"/>
                <w:szCs w:val="20"/>
              </w:rPr>
              <w:t>Пельвож</w:t>
            </w:r>
            <w:proofErr w:type="spellEnd"/>
            <w:r w:rsidR="00C243F6" w:rsidRPr="00A67108">
              <w:rPr>
                <w:rFonts w:ascii="Times New Roman" w:hAnsi="Times New Roman" w:cs="Times New Roman"/>
                <w:bCs/>
                <w:sz w:val="20"/>
                <w:szCs w:val="20"/>
              </w:rPr>
              <w:t xml:space="preserve">) и поселка </w:t>
            </w:r>
            <w:proofErr w:type="spellStart"/>
            <w:r w:rsidR="00C243F6" w:rsidRPr="00A67108">
              <w:rPr>
                <w:rFonts w:ascii="Times New Roman" w:hAnsi="Times New Roman" w:cs="Times New Roman"/>
                <w:bCs/>
                <w:sz w:val="20"/>
                <w:szCs w:val="20"/>
              </w:rPr>
              <w:t>Горнокнязевск</w:t>
            </w:r>
            <w:proofErr w:type="spellEnd"/>
            <w:r w:rsidR="00C243F6" w:rsidRPr="00A67108">
              <w:rPr>
                <w:rFonts w:ascii="Times New Roman" w:hAnsi="Times New Roman" w:cs="Times New Roman"/>
                <w:bCs/>
                <w:sz w:val="20"/>
                <w:szCs w:val="20"/>
              </w:rPr>
              <w:t xml:space="preserve">, входящего в состав муниципального образования Приуральский район </w:t>
            </w:r>
            <w:r w:rsidRPr="00A67108">
              <w:rPr>
                <w:rFonts w:ascii="Times New Roman" w:hAnsi="Times New Roman" w:cs="Times New Roman"/>
                <w:bCs/>
                <w:sz w:val="20"/>
                <w:szCs w:val="20"/>
              </w:rPr>
              <w:t>по точкам поставки, по которым Акционерное общество «</w:t>
            </w:r>
            <w:r w:rsidR="004A5AB5" w:rsidRPr="00A67108">
              <w:rPr>
                <w:rFonts w:ascii="Times New Roman" w:hAnsi="Times New Roman" w:cs="Times New Roman"/>
                <w:bCs/>
                <w:sz w:val="20"/>
                <w:szCs w:val="20"/>
              </w:rPr>
              <w:t>Салехардэнерго</w:t>
            </w:r>
            <w:r w:rsidRPr="00A67108">
              <w:rPr>
                <w:rFonts w:ascii="Times New Roman" w:hAnsi="Times New Roman" w:cs="Times New Roman"/>
                <w:bCs/>
                <w:sz w:val="20"/>
                <w:szCs w:val="20"/>
              </w:rPr>
              <w:t>» обеспечило участие в торговле электрической энергией и мощностью на оптовом рынке, в установленном порядке с 01.0</w:t>
            </w:r>
            <w:r w:rsidR="004A5AB5" w:rsidRPr="00A67108">
              <w:rPr>
                <w:rFonts w:ascii="Times New Roman" w:hAnsi="Times New Roman" w:cs="Times New Roman"/>
                <w:bCs/>
                <w:sz w:val="20"/>
                <w:szCs w:val="20"/>
              </w:rPr>
              <w:t>9</w:t>
            </w:r>
            <w:r w:rsidRPr="00A67108">
              <w:rPr>
                <w:rFonts w:ascii="Times New Roman" w:hAnsi="Times New Roman" w:cs="Times New Roman"/>
                <w:bCs/>
                <w:sz w:val="20"/>
                <w:szCs w:val="20"/>
              </w:rPr>
              <w:t>.201</w:t>
            </w:r>
            <w:r w:rsidR="004A5AB5" w:rsidRPr="00A67108">
              <w:rPr>
                <w:rFonts w:ascii="Times New Roman" w:hAnsi="Times New Roman" w:cs="Times New Roman"/>
                <w:bCs/>
                <w:sz w:val="20"/>
                <w:szCs w:val="20"/>
              </w:rPr>
              <w:t>8</w:t>
            </w:r>
            <w:r w:rsidRPr="00A67108">
              <w:rPr>
                <w:rFonts w:ascii="Times New Roman" w:hAnsi="Times New Roman" w:cs="Times New Roman"/>
                <w:bCs/>
                <w:sz w:val="20"/>
                <w:szCs w:val="20"/>
              </w:rPr>
              <w:t xml:space="preserve"> (в редакции </w:t>
            </w:r>
            <w:r w:rsidR="00C243F6" w:rsidRPr="00A67108">
              <w:rPr>
                <w:rFonts w:ascii="Times New Roman" w:hAnsi="Times New Roman" w:cs="Times New Roman"/>
                <w:bCs/>
                <w:sz w:val="20"/>
                <w:szCs w:val="20"/>
              </w:rPr>
              <w:t xml:space="preserve">Приказа </w:t>
            </w:r>
            <w:r w:rsidRPr="00A67108">
              <w:rPr>
                <w:rFonts w:ascii="Times New Roman" w:hAnsi="Times New Roman" w:cs="Times New Roman"/>
                <w:bCs/>
                <w:sz w:val="20"/>
                <w:szCs w:val="20"/>
              </w:rPr>
              <w:t xml:space="preserve">Департамента </w:t>
            </w:r>
            <w:r w:rsidR="00A67108" w:rsidRPr="00A67108">
              <w:rPr>
                <w:rFonts w:ascii="Times New Roman" w:hAnsi="Times New Roman" w:cs="Times New Roman"/>
                <w:bCs/>
                <w:sz w:val="20"/>
                <w:szCs w:val="20"/>
              </w:rPr>
              <w:t xml:space="preserve">тарифной политики, энергетики и жилищно-коммунального комплекса Ямало-ненецкого автономного округа </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w:t>
            </w:r>
            <w:r w:rsidRPr="00A67108">
              <w:rPr>
                <w:rFonts w:ascii="Times New Roman" w:hAnsi="Times New Roman" w:cs="Times New Roman"/>
                <w:bCs/>
                <w:sz w:val="20"/>
                <w:szCs w:val="20"/>
              </w:rPr>
              <w:t xml:space="preserve">» от </w:t>
            </w:r>
            <w:r w:rsidR="00A67108" w:rsidRPr="00A67108">
              <w:rPr>
                <w:rFonts w:ascii="Times New Roman" w:hAnsi="Times New Roman" w:cs="Times New Roman"/>
                <w:bCs/>
                <w:sz w:val="20"/>
                <w:szCs w:val="20"/>
              </w:rPr>
              <w:t>20</w:t>
            </w:r>
            <w:r w:rsidRPr="00A67108">
              <w:rPr>
                <w:rFonts w:ascii="Times New Roman" w:hAnsi="Times New Roman" w:cs="Times New Roman"/>
                <w:bCs/>
                <w:sz w:val="20"/>
                <w:szCs w:val="20"/>
              </w:rPr>
              <w:t>.0</w:t>
            </w:r>
            <w:r w:rsidR="00A67108" w:rsidRPr="00A67108">
              <w:rPr>
                <w:rFonts w:ascii="Times New Roman" w:hAnsi="Times New Roman" w:cs="Times New Roman"/>
                <w:bCs/>
                <w:sz w:val="20"/>
                <w:szCs w:val="20"/>
              </w:rPr>
              <w:t>6</w:t>
            </w:r>
            <w:r w:rsidRPr="00A67108">
              <w:rPr>
                <w:rFonts w:ascii="Times New Roman" w:hAnsi="Times New Roman" w:cs="Times New Roman"/>
                <w:bCs/>
                <w:sz w:val="20"/>
                <w:szCs w:val="20"/>
              </w:rPr>
              <w:t>.201</w:t>
            </w:r>
            <w:r w:rsidR="00A67108" w:rsidRPr="00A67108">
              <w:rPr>
                <w:rFonts w:ascii="Times New Roman" w:hAnsi="Times New Roman" w:cs="Times New Roman"/>
                <w:bCs/>
                <w:sz w:val="20"/>
                <w:szCs w:val="20"/>
              </w:rPr>
              <w:t>7</w:t>
            </w:r>
            <w:r w:rsidRPr="00A67108">
              <w:rPr>
                <w:rFonts w:ascii="Times New Roman" w:hAnsi="Times New Roman" w:cs="Times New Roman"/>
                <w:bCs/>
                <w:sz w:val="20"/>
                <w:szCs w:val="20"/>
              </w:rPr>
              <w:t xml:space="preserve"> № </w:t>
            </w:r>
            <w:r w:rsidR="00A67108" w:rsidRPr="00A67108">
              <w:rPr>
                <w:rFonts w:ascii="Times New Roman" w:hAnsi="Times New Roman" w:cs="Times New Roman"/>
                <w:bCs/>
                <w:sz w:val="20"/>
                <w:szCs w:val="20"/>
              </w:rPr>
              <w:t>42-т</w:t>
            </w:r>
            <w:r w:rsidRPr="00A67108">
              <w:rPr>
                <w:rFonts w:ascii="Times New Roman" w:hAnsi="Times New Roman" w:cs="Times New Roman"/>
                <w:bCs/>
                <w:sz w:val="20"/>
                <w:szCs w:val="20"/>
              </w:rPr>
              <w:t>.</w:t>
            </w:r>
            <w:r w:rsidR="00A67108" w:rsidRPr="00A67108">
              <w:rPr>
                <w:rFonts w:ascii="Times New Roman" w:hAnsi="Times New Roman" w:cs="Times New Roman"/>
                <w:bCs/>
                <w:sz w:val="20"/>
                <w:szCs w:val="20"/>
              </w:rPr>
              <w:t>)</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4D26" w:rsidRPr="00A67108" w:rsidRDefault="007B3BF3"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 xml:space="preserve">Договор может быть изменен или расторгнут по основаниям, предусмотренным гражданским законодательством Российской Федерации и </w:t>
            </w:r>
            <w:r w:rsidRPr="00A67108">
              <w:rPr>
                <w:rFonts w:ascii="Times New Roman" w:hAnsi="Times New Roman" w:cs="Times New Roman"/>
                <w:sz w:val="20"/>
                <w:szCs w:val="20"/>
              </w:rPr>
              <w:t xml:space="preserve">Основными положениями. </w:t>
            </w:r>
            <w:r w:rsidRPr="00A67108">
              <w:rPr>
                <w:rFonts w:ascii="Times New Roman" w:hAnsi="Times New Roman" w:cs="Times New Roman"/>
                <w:color w:val="000000"/>
                <w:sz w:val="20"/>
                <w:szCs w:val="20"/>
              </w:rPr>
              <w:t>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62265A" w:rsidRPr="00A67108" w:rsidRDefault="00A67108"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color w:val="000000"/>
                <w:sz w:val="20"/>
                <w:szCs w:val="20"/>
              </w:rPr>
            </w:pPr>
          </w:p>
          <w:p w:rsidR="0062265A" w:rsidRPr="00A67108" w:rsidRDefault="007B3BF3" w:rsidP="0062265A">
            <w:pPr>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В случае если по договору энергоснабжения (купли-продажи) электрической энергии,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w:t>
            </w:r>
          </w:p>
          <w:p w:rsidR="0062265A" w:rsidRPr="00A67108" w:rsidRDefault="00A67108" w:rsidP="00CF79E8">
            <w:pPr>
              <w:tabs>
                <w:tab w:val="left" w:pos="709"/>
                <w:tab w:val="left" w:pos="993"/>
                <w:tab w:val="left" w:pos="1276"/>
                <w:tab w:val="left" w:pos="1418"/>
              </w:tabs>
              <w:autoSpaceDE w:val="0"/>
              <w:autoSpaceDN w:val="0"/>
              <w:adjustRightInd w:val="0"/>
              <w:spacing w:after="0" w:line="240" w:lineRule="auto"/>
              <w:jc w:val="both"/>
              <w:rPr>
                <w:rFonts w:ascii="Times New Roman" w:hAnsi="Times New Roman" w:cs="Times New Roman"/>
                <w:sz w:val="20"/>
                <w:szCs w:val="20"/>
              </w:rPr>
            </w:pPr>
          </w:p>
          <w:p w:rsidR="00FF4D26" w:rsidRPr="00A67108" w:rsidRDefault="007B3BF3" w:rsidP="00E5496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 договору с гарантирующим поставщиком потребитель (покупатель) вправе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9"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Потребитель (покупатель), имеющий намерение в соответствии с Основными положениями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w:t>
            </w:r>
            <w:r w:rsidRPr="00A67108">
              <w:rPr>
                <w:rFonts w:ascii="Times New Roman" w:hAnsi="Times New Roman" w:cs="Times New Roman"/>
                <w:sz w:val="20"/>
                <w:szCs w:val="20"/>
              </w:rPr>
              <w:lastRenderedPageBreak/>
              <w:t>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FF4D26"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При нарушении потребителем (покупателем) требований об уведомлении гарантирующего поставщика в установленные сроки и (или) при нарушении им требования о выполнении условий, предусмотренных </w:t>
            </w:r>
            <w:hyperlink r:id="rId10" w:history="1">
              <w:r w:rsidRPr="00A67108">
                <w:rPr>
                  <w:rFonts w:ascii="Times New Roman" w:hAnsi="Times New Roman" w:cs="Times New Roman"/>
                  <w:sz w:val="20"/>
                  <w:szCs w:val="20"/>
                </w:rPr>
                <w:t>пунктами 49</w:t>
              </w:r>
            </w:hyperlink>
            <w:r w:rsidRPr="00A67108">
              <w:rPr>
                <w:rFonts w:ascii="Times New Roman" w:hAnsi="Times New Roman" w:cs="Times New Roman"/>
                <w:sz w:val="20"/>
                <w:szCs w:val="20"/>
              </w:rPr>
              <w:t xml:space="preserve"> или </w:t>
            </w:r>
            <w:hyperlink r:id="rId11"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(оплата, потребленной электрической энергии (мощности);  оплата суммы компенсации, в случаях, предусмотренных действующим законодательством),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A217E" w:rsidRPr="00A67108" w:rsidRDefault="007B3BF3" w:rsidP="00CF79E8">
            <w:pPr>
              <w:autoSpaceDE w:val="0"/>
              <w:autoSpaceDN w:val="0"/>
              <w:adjustRightInd w:val="0"/>
              <w:jc w:val="both"/>
              <w:rPr>
                <w:rFonts w:ascii="Times New Roman" w:hAnsi="Times New Roman" w:cs="Times New Roman"/>
                <w:color w:val="000000"/>
                <w:sz w:val="20"/>
                <w:szCs w:val="20"/>
              </w:rPr>
            </w:pPr>
            <w:r w:rsidRPr="00A67108">
              <w:rPr>
                <w:rFonts w:ascii="Times New Roman" w:hAnsi="Times New Roman" w:cs="Times New Roman"/>
                <w:sz w:val="20"/>
                <w:szCs w:val="20"/>
              </w:rPr>
              <w:t xml:space="preserve">В случае если гарантирующий поставщик не выставил счет в порядке, предусмотренном </w:t>
            </w:r>
            <w:hyperlink r:id="rId12" w:history="1">
              <w:r w:rsidRPr="00A67108">
                <w:rPr>
                  <w:rFonts w:ascii="Times New Roman" w:hAnsi="Times New Roman" w:cs="Times New Roman"/>
                  <w:sz w:val="20"/>
                  <w:szCs w:val="20"/>
                </w:rPr>
                <w:t>пунктом 85</w:t>
              </w:r>
            </w:hyperlink>
            <w:r w:rsidRPr="00A67108">
              <w:rPr>
                <w:rFonts w:ascii="Times New Roman" w:hAnsi="Times New Roman" w:cs="Times New Roman"/>
                <w:sz w:val="20"/>
                <w:szCs w:val="20"/>
              </w:rPr>
              <w:t xml:space="preserve"> Основных положений, и при этом потребитель (покупатель) выполнил в установленные сроки иные, указанные в </w:t>
            </w:r>
            <w:hyperlink r:id="rId13" w:history="1">
              <w:r w:rsidRPr="00A67108">
                <w:rPr>
                  <w:rFonts w:ascii="Times New Roman" w:hAnsi="Times New Roman" w:cs="Times New Roman"/>
                  <w:sz w:val="20"/>
                  <w:szCs w:val="20"/>
                </w:rPr>
                <w:t>пункте 49</w:t>
              </w:r>
            </w:hyperlink>
            <w:r w:rsidRPr="00A67108">
              <w:rPr>
                <w:rFonts w:ascii="Times New Roman" w:hAnsi="Times New Roman" w:cs="Times New Roman"/>
                <w:sz w:val="20"/>
                <w:szCs w:val="20"/>
              </w:rPr>
              <w:t xml:space="preserve"> или </w:t>
            </w:r>
            <w:hyperlink r:id="rId14" w:history="1">
              <w:r w:rsidRPr="00A67108">
                <w:rPr>
                  <w:rFonts w:ascii="Times New Roman" w:hAnsi="Times New Roman" w:cs="Times New Roman"/>
                  <w:sz w:val="20"/>
                  <w:szCs w:val="20"/>
                </w:rPr>
                <w:t>50</w:t>
              </w:r>
            </w:hyperlink>
            <w:r w:rsidRPr="00A67108">
              <w:rPr>
                <w:rFonts w:ascii="Times New Roman" w:hAnsi="Times New Roman" w:cs="Times New Roman"/>
                <w:sz w:val="20"/>
                <w:szCs w:val="20"/>
              </w:rPr>
              <w:t xml:space="preserve">  основных положений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CD1C39" w:rsidRPr="00A67108" w:rsidRDefault="00A67108" w:rsidP="00CD1C39">
            <w:pPr>
              <w:autoSpaceDE w:val="0"/>
              <w:autoSpaceDN w:val="0"/>
              <w:adjustRightInd w:val="0"/>
              <w:spacing w:after="0" w:line="240" w:lineRule="auto"/>
              <w:jc w:val="both"/>
              <w:rPr>
                <w:rFonts w:ascii="Times New Roman" w:hAnsi="Times New Roman" w:cs="Times New Roman"/>
                <w:sz w:val="20"/>
                <w:szCs w:val="20"/>
              </w:rPr>
            </w:pPr>
          </w:p>
          <w:p w:rsidR="00E54968" w:rsidRPr="00A67108" w:rsidRDefault="007B3BF3" w:rsidP="00CF79E8">
            <w:pPr>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color w:val="000000"/>
                <w:sz w:val="20"/>
                <w:szCs w:val="20"/>
              </w:rPr>
              <w:t>Условия расторжения договора в отношении бюджетных организаций применяются с учетом положений законодательства, регулирующего закупки товаров (работ, услуг) для обеспечения государственных и муниципальных нужд.</w:t>
            </w:r>
          </w:p>
          <w:p w:rsidR="00975708" w:rsidRPr="00A67108" w:rsidRDefault="007B3BF3" w:rsidP="00391927">
            <w:pPr>
              <w:tabs>
                <w:tab w:val="left" w:pos="0"/>
                <w:tab w:val="num" w:pos="709"/>
                <w:tab w:val="left" w:pos="1134"/>
              </w:tabs>
              <w:autoSpaceDE w:val="0"/>
              <w:autoSpaceDN w:val="0"/>
              <w:adjustRightInd w:val="0"/>
              <w:spacing w:after="0" w:line="240" w:lineRule="auto"/>
              <w:jc w:val="both"/>
              <w:outlineLvl w:val="0"/>
              <w:rPr>
                <w:rFonts w:ascii="Times New Roman" w:hAnsi="Times New Roman" w:cs="Times New Roman"/>
                <w:sz w:val="20"/>
                <w:szCs w:val="20"/>
              </w:rPr>
            </w:pPr>
            <w:r w:rsidRPr="00A67108">
              <w:rPr>
                <w:rFonts w:ascii="Times New Roman" w:hAnsi="Times New Roman" w:cs="Times New Roman"/>
                <w:sz w:val="20"/>
                <w:szCs w:val="20"/>
              </w:rPr>
              <w:t xml:space="preserve">В случае если стороной по договору является  исполнитель коммунальной услуги,  приобретающий электрическую энергию для целей оказания коммунальных услуг, он вправе отказаться от исполнения договора энергоснабжения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Договора.                                                                                                                                        </w:t>
            </w:r>
          </w:p>
        </w:tc>
      </w:tr>
      <w:tr w:rsidR="00A67108" w:rsidRPr="00A67108" w:rsidTr="00A45F79">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00235" w:rsidRPr="00A67108" w:rsidRDefault="007B3BF3" w:rsidP="00720CD1">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Порядок и размер и ответственности исполнителя коммунальных услуг определяется с учетом положений жилищного законодательства Российской Федерации.</w:t>
            </w:r>
          </w:p>
        </w:tc>
      </w:tr>
      <w:tr w:rsidR="00A67108" w:rsidRPr="00A67108" w:rsidTr="00AD1DEF">
        <w:trPr>
          <w:trHeight w:val="830"/>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A67108" w:rsidP="00CF79E8">
            <w:pPr>
              <w:widowControl w:val="0"/>
              <w:autoSpaceDE w:val="0"/>
              <w:autoSpaceDN w:val="0"/>
              <w:adjustRightInd w:val="0"/>
              <w:spacing w:after="0" w:line="240" w:lineRule="auto"/>
              <w:jc w:val="center"/>
              <w:rPr>
                <w:rFonts w:ascii="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CF79E8">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BA7" w:rsidRPr="00A67108" w:rsidRDefault="007B3BF3" w:rsidP="004A5AB5">
            <w:pPr>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proofErr w:type="spellStart"/>
            <w:r w:rsidR="004A5AB5" w:rsidRPr="00A67108">
              <w:rPr>
                <w:rFonts w:ascii="Times New Roman" w:hAnsi="Times New Roman" w:cs="Times New Roman"/>
                <w:b/>
                <w:sz w:val="20"/>
                <w:szCs w:val="20"/>
              </w:rPr>
              <w:t>www.slenergo.ru</w:t>
            </w:r>
            <w:proofErr w:type="spellEnd"/>
            <w:r w:rsidR="004A5AB5" w:rsidRPr="00A67108">
              <w:rPr>
                <w:rFonts w:ascii="Times New Roman" w:hAnsi="Times New Roman" w:cs="Times New Roman"/>
                <w:sz w:val="20"/>
                <w:szCs w:val="20"/>
              </w:rPr>
              <w:t xml:space="preserve"> </w:t>
            </w:r>
            <w:r w:rsidRPr="00A67108">
              <w:rPr>
                <w:rFonts w:ascii="Times New Roman" w:hAnsi="Times New Roman" w:cs="Times New Roman"/>
                <w:sz w:val="20"/>
                <w:szCs w:val="20"/>
              </w:rPr>
              <w:t>размещены типовые формы договоров, разработанные в соответствии с Основными положениями, Правилами (положениями законодательства), применяемые при заключении договоров с соответствующими группами потребителей.</w:t>
            </w:r>
          </w:p>
        </w:tc>
      </w:tr>
    </w:tbl>
    <w:p w:rsidR="007B3BF3"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67108" w:rsidRPr="00A67108" w:rsidRDefault="00A67108" w:rsidP="00A45F79">
      <w:pPr>
        <w:widowControl w:val="0"/>
        <w:autoSpaceDE w:val="0"/>
        <w:autoSpaceDN w:val="0"/>
        <w:adjustRightInd w:val="0"/>
        <w:spacing w:after="0" w:line="240" w:lineRule="auto"/>
        <w:jc w:val="right"/>
        <w:rPr>
          <w:rFonts w:ascii="Times New Roman" w:hAnsi="Times New Roman" w:cs="Times New Roman"/>
          <w:b/>
          <w:bCs/>
          <w:sz w:val="20"/>
          <w:szCs w:val="20"/>
        </w:rPr>
      </w:pPr>
    </w:p>
    <w:p w:rsidR="00A45F79" w:rsidRPr="00A67108"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lastRenderedPageBreak/>
        <w:t>Постановление №24</w:t>
      </w:r>
    </w:p>
    <w:p w:rsidR="00A45F79" w:rsidRPr="00A67108" w:rsidRDefault="007B3BF3" w:rsidP="00A45F79">
      <w:pPr>
        <w:widowControl w:val="0"/>
        <w:autoSpaceDE w:val="0"/>
        <w:autoSpaceDN w:val="0"/>
        <w:adjustRightInd w:val="0"/>
        <w:spacing w:after="0" w:line="240" w:lineRule="auto"/>
        <w:jc w:val="right"/>
        <w:rPr>
          <w:rFonts w:ascii="Times New Roman" w:hAnsi="Times New Roman" w:cs="Times New Roman"/>
          <w:b/>
          <w:bCs/>
          <w:sz w:val="20"/>
          <w:szCs w:val="20"/>
        </w:rPr>
      </w:pPr>
      <w:r w:rsidRPr="00A67108">
        <w:rPr>
          <w:rFonts w:ascii="Times New Roman" w:hAnsi="Times New Roman" w:cs="Times New Roman"/>
          <w:b/>
          <w:bCs/>
          <w:sz w:val="20"/>
          <w:szCs w:val="20"/>
        </w:rPr>
        <w:t>Форма п.20.подп.б</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Форма раскрытия информации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энергоснабжающими, энергосбытовыми организациями</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и гарантирующими поставщиками об основных условиях договора</w:t>
      </w:r>
    </w:p>
    <w:p w:rsidR="00A45F79" w:rsidRPr="00A67108" w:rsidRDefault="007B3BF3" w:rsidP="00A45F79">
      <w:pPr>
        <w:widowControl w:val="0"/>
        <w:autoSpaceDE w:val="0"/>
        <w:autoSpaceDN w:val="0"/>
        <w:adjustRightInd w:val="0"/>
        <w:spacing w:after="0" w:line="240" w:lineRule="auto"/>
        <w:jc w:val="center"/>
        <w:rPr>
          <w:rFonts w:ascii="Times New Roman" w:hAnsi="Times New Roman" w:cs="Times New Roman"/>
          <w:b/>
          <w:bCs/>
          <w:sz w:val="20"/>
          <w:szCs w:val="20"/>
        </w:rPr>
      </w:pPr>
      <w:r w:rsidRPr="00A67108">
        <w:rPr>
          <w:rFonts w:ascii="Times New Roman" w:hAnsi="Times New Roman" w:cs="Times New Roman"/>
          <w:b/>
          <w:bCs/>
          <w:sz w:val="20"/>
          <w:szCs w:val="20"/>
        </w:rPr>
        <w:t>энергоснабжения для физических лиц – потребителей коммунальной услуги</w:t>
      </w:r>
    </w:p>
    <w:p w:rsidR="00A45F79" w:rsidRPr="00A67108" w:rsidRDefault="00A67108" w:rsidP="00A45F79">
      <w:pPr>
        <w:widowControl w:val="0"/>
        <w:autoSpaceDE w:val="0"/>
        <w:autoSpaceDN w:val="0"/>
        <w:adjustRightInd w:val="0"/>
        <w:spacing w:after="0" w:line="240" w:lineRule="auto"/>
        <w:jc w:val="both"/>
        <w:rPr>
          <w:rFonts w:ascii="Times New Roman" w:hAnsi="Times New Roman" w:cs="Times New Roman"/>
          <w:sz w:val="20"/>
          <w:szCs w:val="20"/>
        </w:rPr>
      </w:pPr>
    </w:p>
    <w:tbl>
      <w:tblPr>
        <w:tblW w:w="14707" w:type="dxa"/>
        <w:tblInd w:w="-5" w:type="dxa"/>
        <w:tblLayout w:type="fixed"/>
        <w:tblCellMar>
          <w:top w:w="75" w:type="dxa"/>
          <w:left w:w="0" w:type="dxa"/>
          <w:bottom w:w="75" w:type="dxa"/>
          <w:right w:w="0" w:type="dxa"/>
        </w:tblCellMar>
        <w:tblLook w:val="0000"/>
      </w:tblPr>
      <w:tblGrid>
        <w:gridCol w:w="1276"/>
        <w:gridCol w:w="510"/>
        <w:gridCol w:w="2999"/>
        <w:gridCol w:w="9922"/>
      </w:tblGrid>
      <w:tr w:rsidR="000036F4" w:rsidRPr="00A67108" w:rsidTr="000C3A6C">
        <w:trPr>
          <w:trHeight w:val="283"/>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720CD1">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 xml:space="preserve">Основные условия договора энергоснабжения </w:t>
            </w: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1.</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Срок действия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color w:val="000000"/>
                <w:sz w:val="20"/>
                <w:szCs w:val="20"/>
              </w:rPr>
              <w:t>Договор заключается на неопределенный срок.</w:t>
            </w:r>
          </w:p>
        </w:tc>
      </w:tr>
      <w:tr w:rsidR="000036F4" w:rsidRPr="00A67108" w:rsidTr="000C3A6C">
        <w:trPr>
          <w:trHeight w:val="68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A67108"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2.</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Вид цены на электрическую энергию (фиксированная или переменная)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color w:val="000000"/>
                <w:sz w:val="20"/>
                <w:szCs w:val="20"/>
              </w:rPr>
            </w:pPr>
            <w:r w:rsidRPr="00A67108">
              <w:rPr>
                <w:rFonts w:ascii="Times New Roman" w:hAnsi="Times New Roman" w:cs="Times New Roman"/>
                <w:color w:val="000000"/>
                <w:sz w:val="20"/>
                <w:szCs w:val="20"/>
              </w:rPr>
              <w:t>Регулируемая цена (фиксированная)</w:t>
            </w:r>
          </w:p>
          <w:p w:rsidR="00A45F79" w:rsidRPr="00A67108" w:rsidRDefault="007B3BF3" w:rsidP="000C3A6C">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Размер платы за коммунальные услуги по энергоснабжению рассчитывается по тарифам (ценам) для потребителей, установленным ресурсоснабжающей организации в порядке, определенном </w:t>
            </w:r>
            <w:hyperlink r:id="rId15" w:history="1">
              <w:r w:rsidRPr="00A67108">
                <w:rPr>
                  <w:rFonts w:ascii="Times New Roman" w:hAnsi="Times New Roman" w:cs="Times New Roman"/>
                  <w:sz w:val="20"/>
                  <w:szCs w:val="20"/>
                </w:rPr>
                <w:t>законодательством</w:t>
              </w:r>
            </w:hyperlink>
            <w:r w:rsidRPr="00A67108">
              <w:rPr>
                <w:rFonts w:ascii="Times New Roman" w:hAnsi="Times New Roman" w:cs="Times New Roman"/>
                <w:sz w:val="20"/>
                <w:szCs w:val="20"/>
              </w:rPr>
              <w:t>Российской Федерации о государственном регулировании цен (тарифов).</w:t>
            </w:r>
          </w:p>
          <w:p w:rsidR="00A45F79" w:rsidRPr="00A67108" w:rsidRDefault="007B3BF3" w:rsidP="00A45F79">
            <w:pPr>
              <w:tabs>
                <w:tab w:val="left" w:pos="709"/>
                <w:tab w:val="left" w:pos="993"/>
                <w:tab w:val="left" w:pos="1134"/>
                <w:tab w:val="left" w:pos="1276"/>
              </w:tabs>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tc>
      </w:tr>
      <w:tr w:rsidR="000036F4" w:rsidRPr="00A67108" w:rsidTr="000C3A6C">
        <w:trPr>
          <w:trHeight w:val="45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A67108"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3.</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оплаты</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i/>
                <w:sz w:val="20"/>
                <w:szCs w:val="20"/>
              </w:rPr>
            </w:pPr>
            <w:r w:rsidRPr="00A67108">
              <w:rPr>
                <w:rFonts w:ascii="Times New Roman" w:hAnsi="Times New Roman" w:cs="Times New Roman"/>
                <w:sz w:val="20"/>
                <w:szCs w:val="20"/>
              </w:rPr>
              <w:t>Оплата потребителями за поставленную электрическую энергию (мощность) допускается в любой форме/способом, предусмотренной/ым действующим законодательством.</w:t>
            </w:r>
          </w:p>
        </w:tc>
      </w:tr>
      <w:tr w:rsidR="000036F4" w:rsidRPr="00A67108" w:rsidTr="00720CD1">
        <w:trPr>
          <w:trHeight w:val="603"/>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A67108"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4.</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Форма обеспечения исполнения обязательств сторон по договору</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A45F79">
            <w:pPr>
              <w:pStyle w:val="a9"/>
              <w:rPr>
                <w:rFonts w:ascii="Times New Roman" w:hAnsi="Times New Roman" w:cs="Times New Roman"/>
              </w:rPr>
            </w:pPr>
            <w:r w:rsidRPr="00A67108">
              <w:rPr>
                <w:rFonts w:ascii="Times New Roman" w:hAnsi="Times New Roman" w:cs="Times New Roman"/>
              </w:rPr>
              <w:t xml:space="preserve">Условие о форме обеспечения обязательств по договору применяется с учетом положений жилищного законодательства: при несвоевременной/ не полной оплате за электрическую энергию потребитель обязан уплатить пени в размере и порядке, установленном    Жилищным кодексом Российской Федерации.  </w:t>
            </w:r>
          </w:p>
        </w:tc>
      </w:tr>
      <w:tr w:rsidR="000036F4" w:rsidRPr="00A67108" w:rsidTr="000C3A6C">
        <w:trPr>
          <w:trHeight w:val="1531"/>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A67108" w:rsidP="003225C9">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5.</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25C9" w:rsidRPr="00A67108" w:rsidRDefault="007B3BF3" w:rsidP="003225C9">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Зона обслуживания</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7108" w:rsidRPr="00A67108" w:rsidRDefault="00A67108" w:rsidP="00A67108">
            <w:pPr>
              <w:pStyle w:val="a9"/>
              <w:rPr>
                <w:rFonts w:ascii="Times New Roman" w:hAnsi="Times New Roman" w:cs="Times New Roman"/>
              </w:rPr>
            </w:pPr>
            <w:r w:rsidRPr="00A67108">
              <w:rPr>
                <w:rFonts w:ascii="Times New Roman" w:hAnsi="Times New Roman" w:cs="Times New Roman"/>
              </w:rPr>
              <w:t xml:space="preserve">гарантирующий поставщик на территории МО г.Салехард и </w:t>
            </w:r>
            <w:proofErr w:type="spellStart"/>
            <w:r w:rsidRPr="00A67108">
              <w:rPr>
                <w:rFonts w:ascii="Times New Roman" w:hAnsi="Times New Roman" w:cs="Times New Roman"/>
              </w:rPr>
              <w:t>п.Горнокнязевск</w:t>
            </w:r>
            <w:proofErr w:type="spellEnd"/>
            <w:r w:rsidRPr="00A67108">
              <w:rPr>
                <w:rFonts w:ascii="Times New Roman" w:hAnsi="Times New Roman" w:cs="Times New Roman"/>
              </w:rPr>
              <w:t xml:space="preserve"> - в рамках административных границ на территории муниципального образования город Салехард (за исключением поселка </w:t>
            </w:r>
            <w:proofErr w:type="spellStart"/>
            <w:r w:rsidRPr="00A67108">
              <w:rPr>
                <w:rFonts w:ascii="Times New Roman" w:hAnsi="Times New Roman" w:cs="Times New Roman"/>
              </w:rPr>
              <w:t>Пельвож</w:t>
            </w:r>
            <w:proofErr w:type="spellEnd"/>
            <w:r w:rsidRPr="00A67108">
              <w:rPr>
                <w:rFonts w:ascii="Times New Roman" w:hAnsi="Times New Roman" w:cs="Times New Roman"/>
              </w:rPr>
              <w:t xml:space="preserve">) и поселка </w:t>
            </w:r>
            <w:proofErr w:type="spellStart"/>
            <w:r w:rsidRPr="00A67108">
              <w:rPr>
                <w:rFonts w:ascii="Times New Roman" w:hAnsi="Times New Roman" w:cs="Times New Roman"/>
              </w:rPr>
              <w:t>Горнокнязевск</w:t>
            </w:r>
            <w:proofErr w:type="spellEnd"/>
            <w:r w:rsidRPr="00A67108">
              <w:rPr>
                <w:rFonts w:ascii="Times New Roman" w:hAnsi="Times New Roman" w:cs="Times New Roman"/>
              </w:rPr>
              <w:t>, входящего в состав муниципального образования Приуральский район по точкам поставки, по которым Акционерное общество «Салехардэнерго» обеспечило участие в торговле электрической энергией и мощностью на оптовом рынке, в установленном порядке</w:t>
            </w:r>
            <w:r w:rsidR="007B3BF3" w:rsidRPr="00A67108">
              <w:rPr>
                <w:rFonts w:ascii="Times New Roman" w:hAnsi="Times New Roman" w:cs="Times New Roman"/>
              </w:rPr>
              <w:t xml:space="preserve">, согласно </w:t>
            </w:r>
            <w:r w:rsidRPr="00A67108">
              <w:rPr>
                <w:rFonts w:ascii="Times New Roman" w:hAnsi="Times New Roman" w:cs="Times New Roman"/>
              </w:rPr>
              <w:t>Приказа Департамента тарифной политики, энергетики и жилищно-коммунального комплекса Ямало-ненецкого автономного округа «О внесении изменения в приказ департамента тарифной политики, энергетики и жилищно-коммунального комплекса Ямало-Ненецкого автономного округа от 24 декабря 2015 года № 409-т» от 20.06.2017 № 42-т.</w:t>
            </w:r>
          </w:p>
        </w:tc>
      </w:tr>
      <w:tr w:rsidR="000036F4" w:rsidRPr="00A67108" w:rsidTr="000C3A6C">
        <w:trPr>
          <w:trHeight w:val="397"/>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A67108"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6.</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Условия расторжения договора</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Договор энергоснабжения может быть расторгнут по основаниям, предусмотренным гражданским и жилищным законодательством Российской Федерации.</w:t>
            </w:r>
          </w:p>
        </w:tc>
      </w:tr>
      <w:tr w:rsidR="000036F4" w:rsidRPr="00A67108" w:rsidTr="000C3A6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A67108"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7.</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Ответственность сторон</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134"/>
              </w:tabs>
              <w:spacing w:after="0" w:line="240" w:lineRule="auto"/>
              <w:jc w:val="both"/>
              <w:rPr>
                <w:rFonts w:ascii="Times New Roman" w:hAnsi="Times New Roman" w:cs="Times New Roman"/>
                <w:sz w:val="20"/>
                <w:szCs w:val="20"/>
              </w:rPr>
            </w:pPr>
            <w:r w:rsidRPr="00A67108">
              <w:rPr>
                <w:rFonts w:ascii="Times New Roman" w:hAnsi="Times New Roman" w:cs="Times New Roman"/>
                <w:sz w:val="20"/>
                <w:szCs w:val="20"/>
              </w:rPr>
              <w:t xml:space="preserve">В соответствии с действующим гражданским и жилищным законодательством Российской Федерации </w:t>
            </w:r>
          </w:p>
        </w:tc>
      </w:tr>
      <w:tr w:rsidR="000036F4" w:rsidRPr="00A67108" w:rsidTr="00720CD1">
        <w:trPr>
          <w:trHeight w:val="2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A67108" w:rsidP="000C3A6C">
            <w:pPr>
              <w:widowControl w:val="0"/>
              <w:autoSpaceDE w:val="0"/>
              <w:autoSpaceDN w:val="0"/>
              <w:adjustRightInd w:val="0"/>
              <w:spacing w:after="0" w:line="240" w:lineRule="auto"/>
              <w:jc w:val="center"/>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sz w:val="20"/>
                <w:szCs w:val="20"/>
              </w:rPr>
            </w:pPr>
            <w:r w:rsidRPr="00A67108">
              <w:rPr>
                <w:rFonts w:ascii="Times New Roman" w:hAnsi="Times New Roman" w:cs="Times New Roman"/>
                <w:sz w:val="20"/>
                <w:szCs w:val="20"/>
              </w:rPr>
              <w:t>8.</w:t>
            </w:r>
          </w:p>
        </w:tc>
        <w:tc>
          <w:tcPr>
            <w:tcW w:w="2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widowControl w:val="0"/>
              <w:autoSpaceDE w:val="0"/>
              <w:autoSpaceDN w:val="0"/>
              <w:adjustRightInd w:val="0"/>
              <w:spacing w:after="0" w:line="240" w:lineRule="auto"/>
              <w:jc w:val="center"/>
              <w:rPr>
                <w:rFonts w:ascii="Times New Roman" w:hAnsi="Times New Roman" w:cs="Times New Roman"/>
                <w:b/>
                <w:sz w:val="20"/>
                <w:szCs w:val="20"/>
              </w:rPr>
            </w:pPr>
            <w:r w:rsidRPr="00A67108">
              <w:rPr>
                <w:rFonts w:ascii="Times New Roman" w:hAnsi="Times New Roman" w:cs="Times New Roman"/>
                <w:b/>
                <w:sz w:val="20"/>
                <w:szCs w:val="20"/>
              </w:rPr>
              <w:t>Иная информация, являющаяся существенной для потребителей</w:t>
            </w:r>
          </w:p>
        </w:tc>
        <w:tc>
          <w:tcPr>
            <w:tcW w:w="9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79" w:rsidRPr="00A67108" w:rsidRDefault="007B3BF3" w:rsidP="000C3A6C">
            <w:pPr>
              <w:tabs>
                <w:tab w:val="left" w:pos="-1260"/>
                <w:tab w:val="left" w:pos="-1080"/>
                <w:tab w:val="left" w:pos="709"/>
                <w:tab w:val="left" w:pos="851"/>
                <w:tab w:val="left" w:pos="993"/>
                <w:tab w:val="left" w:pos="1276"/>
              </w:tabs>
              <w:autoSpaceDE w:val="0"/>
              <w:autoSpaceDN w:val="0"/>
              <w:adjustRightInd w:val="0"/>
              <w:jc w:val="both"/>
              <w:rPr>
                <w:rFonts w:ascii="Times New Roman" w:hAnsi="Times New Roman" w:cs="Times New Roman"/>
                <w:sz w:val="20"/>
                <w:szCs w:val="20"/>
              </w:rPr>
            </w:pPr>
            <w:r w:rsidRPr="00A67108">
              <w:rPr>
                <w:rFonts w:ascii="Times New Roman" w:hAnsi="Times New Roman" w:cs="Times New Roman"/>
                <w:sz w:val="20"/>
                <w:szCs w:val="20"/>
              </w:rPr>
              <w:t xml:space="preserve">Обществом на официальном сайте </w:t>
            </w:r>
            <w:proofErr w:type="spellStart"/>
            <w:r w:rsidR="004A5AB5" w:rsidRPr="00A67108">
              <w:rPr>
                <w:rFonts w:ascii="Times New Roman" w:hAnsi="Times New Roman" w:cs="Times New Roman"/>
                <w:b/>
                <w:sz w:val="20"/>
                <w:szCs w:val="20"/>
              </w:rPr>
              <w:t>www.slenergo.ru</w:t>
            </w:r>
            <w:proofErr w:type="spellEnd"/>
            <w:r w:rsidRPr="00A67108">
              <w:rPr>
                <w:rFonts w:ascii="Times New Roman" w:hAnsi="Times New Roman" w:cs="Times New Roman"/>
                <w:sz w:val="20"/>
                <w:szCs w:val="20"/>
              </w:rPr>
              <w:t xml:space="preserve"> размещены типовые формы договоров и перечни документов, необходимых для заключения договора энергоснабжения, разработанные в соответствии с Правилами предоставления коммунальных услуг, применяемых при заключении договоров с данной группой потребителей.</w:t>
            </w:r>
          </w:p>
        </w:tc>
      </w:tr>
    </w:tbl>
    <w:p w:rsidR="00732C7B" w:rsidRPr="00A67108" w:rsidRDefault="00A67108" w:rsidP="00605728">
      <w:pPr>
        <w:rPr>
          <w:rFonts w:ascii="Times New Roman" w:hAnsi="Times New Roman" w:cs="Times New Roman"/>
          <w:sz w:val="20"/>
          <w:szCs w:val="20"/>
        </w:rPr>
      </w:pPr>
      <w:bookmarkStart w:id="0" w:name="_GoBack"/>
      <w:bookmarkEnd w:id="0"/>
    </w:p>
    <w:sectPr w:rsidR="00732C7B" w:rsidRPr="00A67108" w:rsidSect="00A45F79">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5EFB"/>
    <w:multiLevelType w:val="multilevel"/>
    <w:tmpl w:val="70CCC38C"/>
    <w:lvl w:ilvl="0">
      <w:start w:val="1"/>
      <w:numFmt w:val="decimal"/>
      <w:lvlText w:val="%1)"/>
      <w:lvlJc w:val="left"/>
      <w:pPr>
        <w:ind w:left="360" w:hanging="360"/>
      </w:pPr>
      <w:rPr>
        <w:rFonts w:ascii="Arial" w:eastAsia="Times New Roman" w:hAnsi="Arial" w:cs="Arial"/>
        <w:b/>
      </w:rPr>
    </w:lvl>
    <w:lvl w:ilvl="1">
      <w:start w:val="1"/>
      <w:numFmt w:val="bullet"/>
      <w:lvlText w:val=""/>
      <w:lvlJc w:val="left"/>
      <w:pPr>
        <w:ind w:left="1142" w:hanging="432"/>
      </w:pPr>
      <w:rPr>
        <w:rFonts w:ascii="Symbol" w:hAnsi="Symbol"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4F1BEE"/>
    <w:multiLevelType w:val="hybridMultilevel"/>
    <w:tmpl w:val="DE26F056"/>
    <w:lvl w:ilvl="0" w:tplc="C34E0F4A">
      <w:start w:val="1"/>
      <w:numFmt w:val="bullet"/>
      <w:lvlText w:val=""/>
      <w:lvlJc w:val="left"/>
      <w:pPr>
        <w:ind w:left="1287" w:hanging="360"/>
      </w:pPr>
      <w:rPr>
        <w:rFonts w:ascii="Symbol" w:hAnsi="Symbol" w:hint="default"/>
      </w:rPr>
    </w:lvl>
    <w:lvl w:ilvl="1" w:tplc="FB86F802">
      <w:start w:val="1"/>
      <w:numFmt w:val="bullet"/>
      <w:lvlText w:val="o"/>
      <w:lvlJc w:val="left"/>
      <w:pPr>
        <w:ind w:left="2007" w:hanging="360"/>
      </w:pPr>
      <w:rPr>
        <w:rFonts w:ascii="Courier New" w:hAnsi="Courier New" w:cs="Courier New" w:hint="default"/>
      </w:rPr>
    </w:lvl>
    <w:lvl w:ilvl="2" w:tplc="1E3E703C">
      <w:start w:val="1"/>
      <w:numFmt w:val="bullet"/>
      <w:lvlText w:val=""/>
      <w:lvlJc w:val="left"/>
      <w:pPr>
        <w:ind w:left="2727" w:hanging="360"/>
      </w:pPr>
      <w:rPr>
        <w:rFonts w:ascii="Wingdings" w:hAnsi="Wingdings" w:hint="default"/>
      </w:rPr>
    </w:lvl>
    <w:lvl w:ilvl="3" w:tplc="2B3888C8">
      <w:start w:val="1"/>
      <w:numFmt w:val="bullet"/>
      <w:lvlText w:val=""/>
      <w:lvlJc w:val="left"/>
      <w:pPr>
        <w:ind w:left="3447" w:hanging="360"/>
      </w:pPr>
      <w:rPr>
        <w:rFonts w:ascii="Symbol" w:hAnsi="Symbol" w:hint="default"/>
      </w:rPr>
    </w:lvl>
    <w:lvl w:ilvl="4" w:tplc="D756A1DC">
      <w:start w:val="1"/>
      <w:numFmt w:val="bullet"/>
      <w:lvlText w:val="o"/>
      <w:lvlJc w:val="left"/>
      <w:pPr>
        <w:ind w:left="4167" w:hanging="360"/>
      </w:pPr>
      <w:rPr>
        <w:rFonts w:ascii="Courier New" w:hAnsi="Courier New" w:cs="Courier New" w:hint="default"/>
      </w:rPr>
    </w:lvl>
    <w:lvl w:ilvl="5" w:tplc="1A06BD5C">
      <w:start w:val="1"/>
      <w:numFmt w:val="bullet"/>
      <w:lvlText w:val=""/>
      <w:lvlJc w:val="left"/>
      <w:pPr>
        <w:ind w:left="4887" w:hanging="360"/>
      </w:pPr>
      <w:rPr>
        <w:rFonts w:ascii="Wingdings" w:hAnsi="Wingdings" w:hint="default"/>
      </w:rPr>
    </w:lvl>
    <w:lvl w:ilvl="6" w:tplc="24369054">
      <w:start w:val="1"/>
      <w:numFmt w:val="bullet"/>
      <w:lvlText w:val=""/>
      <w:lvlJc w:val="left"/>
      <w:pPr>
        <w:ind w:left="5607" w:hanging="360"/>
      </w:pPr>
      <w:rPr>
        <w:rFonts w:ascii="Symbol" w:hAnsi="Symbol" w:hint="default"/>
      </w:rPr>
    </w:lvl>
    <w:lvl w:ilvl="7" w:tplc="84AC58D6">
      <w:start w:val="1"/>
      <w:numFmt w:val="bullet"/>
      <w:lvlText w:val="o"/>
      <w:lvlJc w:val="left"/>
      <w:pPr>
        <w:ind w:left="6327" w:hanging="360"/>
      </w:pPr>
      <w:rPr>
        <w:rFonts w:ascii="Courier New" w:hAnsi="Courier New" w:cs="Courier New" w:hint="default"/>
      </w:rPr>
    </w:lvl>
    <w:lvl w:ilvl="8" w:tplc="9EAA5CB0">
      <w:start w:val="1"/>
      <w:numFmt w:val="bullet"/>
      <w:lvlText w:val=""/>
      <w:lvlJc w:val="left"/>
      <w:pPr>
        <w:ind w:left="7047" w:hanging="360"/>
      </w:pPr>
      <w:rPr>
        <w:rFonts w:ascii="Wingdings" w:hAnsi="Wingdings" w:hint="default"/>
      </w:rPr>
    </w:lvl>
  </w:abstractNum>
  <w:abstractNum w:abstractNumId="2">
    <w:nsid w:val="4FEA0181"/>
    <w:multiLevelType w:val="hybridMultilevel"/>
    <w:tmpl w:val="58DEBFA4"/>
    <w:lvl w:ilvl="0" w:tplc="BCBAA4D4">
      <w:start w:val="1"/>
      <w:numFmt w:val="decimal"/>
      <w:lvlText w:val="3.4.%1."/>
      <w:lvlJc w:val="left"/>
      <w:pPr>
        <w:ind w:left="720" w:hanging="360"/>
      </w:pPr>
      <w:rPr>
        <w:rFonts w:hint="default"/>
        <w:b/>
      </w:rPr>
    </w:lvl>
    <w:lvl w:ilvl="1" w:tplc="FB0E1040" w:tentative="1">
      <w:start w:val="1"/>
      <w:numFmt w:val="lowerLetter"/>
      <w:lvlText w:val="%2."/>
      <w:lvlJc w:val="left"/>
      <w:pPr>
        <w:ind w:left="1440" w:hanging="360"/>
      </w:pPr>
    </w:lvl>
    <w:lvl w:ilvl="2" w:tplc="C1D834AE" w:tentative="1">
      <w:start w:val="1"/>
      <w:numFmt w:val="lowerRoman"/>
      <w:lvlText w:val="%3."/>
      <w:lvlJc w:val="right"/>
      <w:pPr>
        <w:ind w:left="2160" w:hanging="180"/>
      </w:pPr>
    </w:lvl>
    <w:lvl w:ilvl="3" w:tplc="56B00630" w:tentative="1">
      <w:start w:val="1"/>
      <w:numFmt w:val="decimal"/>
      <w:lvlText w:val="%4."/>
      <w:lvlJc w:val="left"/>
      <w:pPr>
        <w:ind w:left="2880" w:hanging="360"/>
      </w:pPr>
    </w:lvl>
    <w:lvl w:ilvl="4" w:tplc="B16C0E22" w:tentative="1">
      <w:start w:val="1"/>
      <w:numFmt w:val="lowerLetter"/>
      <w:lvlText w:val="%5."/>
      <w:lvlJc w:val="left"/>
      <w:pPr>
        <w:ind w:left="3600" w:hanging="360"/>
      </w:pPr>
    </w:lvl>
    <w:lvl w:ilvl="5" w:tplc="AEE866B0" w:tentative="1">
      <w:start w:val="1"/>
      <w:numFmt w:val="lowerRoman"/>
      <w:lvlText w:val="%6."/>
      <w:lvlJc w:val="right"/>
      <w:pPr>
        <w:ind w:left="4320" w:hanging="180"/>
      </w:pPr>
    </w:lvl>
    <w:lvl w:ilvl="6" w:tplc="CCC2C890" w:tentative="1">
      <w:start w:val="1"/>
      <w:numFmt w:val="decimal"/>
      <w:lvlText w:val="%7."/>
      <w:lvlJc w:val="left"/>
      <w:pPr>
        <w:ind w:left="5040" w:hanging="360"/>
      </w:pPr>
    </w:lvl>
    <w:lvl w:ilvl="7" w:tplc="C6E00F9A" w:tentative="1">
      <w:start w:val="1"/>
      <w:numFmt w:val="lowerLetter"/>
      <w:lvlText w:val="%8."/>
      <w:lvlJc w:val="left"/>
      <w:pPr>
        <w:ind w:left="5760" w:hanging="360"/>
      </w:pPr>
    </w:lvl>
    <w:lvl w:ilvl="8" w:tplc="CE4E3A7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oNotTrackMoves/>
  <w:defaultTabStop w:val="708"/>
  <w:characterSpacingControl w:val="doNotCompress"/>
  <w:compat/>
  <w:rsids>
    <w:rsidRoot w:val="000036F4"/>
    <w:rsid w:val="000036F4"/>
    <w:rsid w:val="00152F3D"/>
    <w:rsid w:val="004A5AB5"/>
    <w:rsid w:val="004C363E"/>
    <w:rsid w:val="007B3BF3"/>
    <w:rsid w:val="00A67108"/>
    <w:rsid w:val="00C24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A7"/>
  </w:style>
  <w:style w:type="paragraph" w:styleId="1">
    <w:name w:val="heading 1"/>
    <w:basedOn w:val="a"/>
    <w:next w:val="a"/>
    <w:link w:val="10"/>
    <w:uiPriority w:val="9"/>
    <w:qFormat/>
    <w:rsid w:val="007F5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6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2E78"/>
    <w:rPr>
      <w:rFonts w:ascii="Segoe UI" w:hAnsi="Segoe UI" w:cs="Segoe UI"/>
      <w:sz w:val="18"/>
      <w:szCs w:val="18"/>
    </w:rPr>
  </w:style>
  <w:style w:type="character" w:customStyle="1" w:styleId="20">
    <w:name w:val="Заголовок 2 Знак"/>
    <w:basedOn w:val="a0"/>
    <w:link w:val="2"/>
    <w:uiPriority w:val="9"/>
    <w:rsid w:val="00326C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26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CD3"/>
    <w:rPr>
      <w:b/>
      <w:bCs/>
    </w:rPr>
  </w:style>
  <w:style w:type="character" w:styleId="a7">
    <w:name w:val="Hyperlink"/>
    <w:basedOn w:val="a0"/>
    <w:uiPriority w:val="99"/>
    <w:semiHidden/>
    <w:unhideWhenUsed/>
    <w:rsid w:val="00326CD3"/>
    <w:rPr>
      <w:color w:val="0000FF"/>
      <w:u w:val="single"/>
    </w:rPr>
  </w:style>
  <w:style w:type="character" w:customStyle="1" w:styleId="apple-style-span">
    <w:name w:val="apple-style-span"/>
    <w:basedOn w:val="a0"/>
    <w:rsid w:val="00732C7B"/>
  </w:style>
  <w:style w:type="character" w:customStyle="1" w:styleId="10">
    <w:name w:val="Заголовок 1 Знак"/>
    <w:basedOn w:val="a0"/>
    <w:link w:val="1"/>
    <w:uiPriority w:val="9"/>
    <w:rsid w:val="007F5547"/>
    <w:rPr>
      <w:rFonts w:asciiTheme="majorHAnsi" w:eastAsiaTheme="majorEastAsia" w:hAnsiTheme="majorHAnsi" w:cstheme="majorBidi"/>
      <w:color w:val="2E74B5" w:themeColor="accent1" w:themeShade="BF"/>
      <w:sz w:val="32"/>
      <w:szCs w:val="32"/>
    </w:rPr>
  </w:style>
  <w:style w:type="character" w:styleId="a8">
    <w:name w:val="annotation reference"/>
    <w:basedOn w:val="a0"/>
    <w:uiPriority w:val="99"/>
    <w:semiHidden/>
    <w:unhideWhenUsed/>
    <w:rsid w:val="001A217E"/>
    <w:rPr>
      <w:sz w:val="16"/>
      <w:szCs w:val="16"/>
    </w:rPr>
  </w:style>
  <w:style w:type="paragraph" w:styleId="a9">
    <w:name w:val="annotation text"/>
    <w:basedOn w:val="a"/>
    <w:link w:val="aa"/>
    <w:uiPriority w:val="99"/>
    <w:unhideWhenUsed/>
    <w:rsid w:val="001A217E"/>
    <w:pPr>
      <w:spacing w:line="240" w:lineRule="auto"/>
    </w:pPr>
    <w:rPr>
      <w:sz w:val="20"/>
      <w:szCs w:val="20"/>
    </w:rPr>
  </w:style>
  <w:style w:type="character" w:customStyle="1" w:styleId="aa">
    <w:name w:val="Текст примечания Знак"/>
    <w:basedOn w:val="a0"/>
    <w:link w:val="a9"/>
    <w:uiPriority w:val="99"/>
    <w:rsid w:val="001A217E"/>
    <w:rPr>
      <w:sz w:val="20"/>
      <w:szCs w:val="20"/>
    </w:rPr>
  </w:style>
  <w:style w:type="paragraph" w:styleId="ab">
    <w:name w:val="annotation subject"/>
    <w:basedOn w:val="a9"/>
    <w:next w:val="a9"/>
    <w:link w:val="ac"/>
    <w:uiPriority w:val="99"/>
    <w:semiHidden/>
    <w:unhideWhenUsed/>
    <w:rsid w:val="001A217E"/>
    <w:rPr>
      <w:b/>
      <w:bCs/>
    </w:rPr>
  </w:style>
  <w:style w:type="character" w:customStyle="1" w:styleId="ac">
    <w:name w:val="Тема примечания Знак"/>
    <w:basedOn w:val="aa"/>
    <w:link w:val="ab"/>
    <w:uiPriority w:val="99"/>
    <w:semiHidden/>
    <w:rsid w:val="001A217E"/>
    <w:rPr>
      <w:b/>
      <w:bCs/>
      <w:sz w:val="20"/>
      <w:szCs w:val="20"/>
    </w:rPr>
  </w:style>
  <w:style w:type="paragraph" w:customStyle="1" w:styleId="ConsPlusNormal">
    <w:name w:val="ConsPlusNormal"/>
    <w:rsid w:val="00F029E4"/>
    <w:pPr>
      <w:autoSpaceDE w:val="0"/>
      <w:autoSpaceDN w:val="0"/>
      <w:adjustRightInd w:val="0"/>
      <w:spacing w:after="0" w:line="240" w:lineRule="auto"/>
    </w:pPr>
    <w:rPr>
      <w:rFonts w:ascii="Calibri" w:hAnsi="Calibri" w:cs="Calibri"/>
      <w:sz w:val="20"/>
      <w:szCs w:val="20"/>
    </w:rPr>
  </w:style>
  <w:style w:type="paragraph" w:styleId="ad">
    <w:name w:val="List Paragraph"/>
    <w:basedOn w:val="a"/>
    <w:uiPriority w:val="34"/>
    <w:qFormat/>
    <w:rsid w:val="009C381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F262631D990A0672A69D4A670CE9A1F1F19603965301D0177FBB10250A690F684234F070FCA9EF3I5wF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F262631D990A0672A69D4A670CE9A1F1F19603965301D0177FBB10250A690F684234F070FCA99F0I5wE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262631D990A0672A69D4A670CE9A1F1F19603965301D0177FBB10250A690F684234F070FCA9EF3I5wEH" TargetMode="External"/><Relationship Id="rId5" Type="http://schemas.openxmlformats.org/officeDocument/2006/relationships/numbering" Target="numbering.xml"/><Relationship Id="rId15" Type="http://schemas.openxmlformats.org/officeDocument/2006/relationships/hyperlink" Target="consultantplus://offline/ref=611E9F463388129733B084A4087652668A4CD30C517DD84E25699B0A2AQ4BEE" TargetMode="External"/><Relationship Id="rId10" Type="http://schemas.openxmlformats.org/officeDocument/2006/relationships/hyperlink" Target="consultantplus://offline/ref=1F262631D990A0672A69D4A670CE9A1F1F19603965301D0177FBB10250A690F684234F070FCA9EF3I5wFH" TargetMode="External"/><Relationship Id="rId4" Type="http://schemas.openxmlformats.org/officeDocument/2006/relationships/customXml" Target="../customXml/item4.xml"/><Relationship Id="rId9" Type="http://schemas.openxmlformats.org/officeDocument/2006/relationships/hyperlink" Target="consultantplus://offline/ref=183445B3572225E9DD33A2AC08F96703B5AA0535CEC6EE60D9DD86A8FA771E74D0BC46F88A04C73EI0t1H" TargetMode="External"/><Relationship Id="rId14" Type="http://schemas.openxmlformats.org/officeDocument/2006/relationships/hyperlink" Target="consultantplus://offline/ref=1F262631D990A0672A69D4A670CE9A1F1F19603965301D0177FBB10250A690F684234F070FCA9EF3I5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E695728FED9DB4B81EA715D28C2EF7D" ma:contentTypeVersion="1" ma:contentTypeDescription="Создание документа." ma:contentTypeScope="" ma:versionID="3f0d103bd6ba6ff63c5ff6b0b30e0789">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C5CA-08D4-43A9-B505-33E8C8E61556}">
  <ds:schemaRefs>
    <ds:schemaRef ds:uri="http://schemas.microsoft.com/sharepoint/v3/contenttype/forms"/>
  </ds:schemaRefs>
</ds:datastoreItem>
</file>

<file path=customXml/itemProps2.xml><?xml version="1.0" encoding="utf-8"?>
<ds:datastoreItem xmlns:ds="http://schemas.openxmlformats.org/officeDocument/2006/customXml" ds:itemID="{FEBBC176-4A57-4A6F-B6E2-E7CA70DC4D3F}">
  <ds:schemaRefs>
    <ds:schemaRef ds:uri="http://schemas.microsoft.com/office/2006/metadata/properties"/>
    <ds:schemaRef ds:uri="http://schemas.microsoft.com/office/infopath/2007/PartnerControls"/>
    <ds:schemaRef ds:uri="3e86b4f3-af7f-457d-9594-a05f1006dc5e"/>
  </ds:schemaRefs>
</ds:datastoreItem>
</file>

<file path=customXml/itemProps3.xml><?xml version="1.0" encoding="utf-8"?>
<ds:datastoreItem xmlns:ds="http://schemas.openxmlformats.org/officeDocument/2006/customXml" ds:itemID="{32B3F06F-20A4-4A46-8B9D-ED0F42AE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7D962-0FA2-4B3A-8DC1-0CC62FAE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Малыгина Наталья Алексеевна</dc:creator>
  <cp:lastModifiedBy>Vychegzhanin</cp:lastModifiedBy>
  <cp:revision>11</cp:revision>
  <cp:lastPrinted>2016-05-05T09:46:00Z</cp:lastPrinted>
  <dcterms:created xsi:type="dcterms:W3CDTF">2017-02-15T05:32:00Z</dcterms:created>
  <dcterms:modified xsi:type="dcterms:W3CDTF">2018-10-16T05:50:00Z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0x0101001E695728FED9DB4B81EA715D28C2EF7D</vt:lpwstr>
  </property>
</Properties>
</file>