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 w:after="0" w:afterAutospacing="0" w:before="0" w:beforeAutospacing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/>
          <w:color w:val="0000FF"/>
          <w:spacing w:val="-20"/>
          <w:sz w:val="32"/>
          <w:szCs w:val="36"/>
        </w:rPr>
      </w:r>
      <w:r>
        <w:rPr>
          <w:rFonts w:ascii="Liberation Serif" w:hAnsi="Liberation Serif" w:cs="Liberation Serif" w:eastAsia="Liberation Serif"/>
          <w:b/>
          <w:color w:val="0000FF"/>
          <w:spacing w:val="-20"/>
          <w:sz w:val="32"/>
          <w:szCs w:val="3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49795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9" cy="638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50.2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spacing w:val="-20"/>
          <w:sz w:val="32"/>
          <w:szCs w:val="32"/>
        </w:rPr>
      </w:r>
      <w:r/>
    </w:p>
    <w:p>
      <w:pPr>
        <w:contextualSpacing w:val="true"/>
        <w:jc w:val="center"/>
        <w:spacing w:lineRule="auto" w:line="240" w:after="0" w:afterAutospacing="0" w:before="0" w:beforeAutospacing="0"/>
        <w:rPr>
          <w:rFonts w:ascii="Liberation Serif" w:hAnsi="Liberation Serif" w:cs="Liberation Serif" w:eastAsia="Liberation Serif"/>
          <w:color w:val="3333FF"/>
        </w:rPr>
      </w:pPr>
      <w:r>
        <w:rPr>
          <w:rFonts w:ascii="Liberation Serif" w:hAnsi="Liberation Serif" w:cs="Liberation Serif" w:eastAsia="Liberation Serif"/>
          <w:b/>
          <w:color w:val="3333FF"/>
          <w:spacing w:val="-20"/>
          <w:sz w:val="32"/>
          <w:szCs w:val="36"/>
        </w:rPr>
        <w:t xml:space="preserve">ДЕПАРТАМЕНТ ТАРИФНОЙ ПОЛИТИКИ, ЭНЕРГЕТИКИ</w:t>
      </w:r>
      <w:r>
        <w:rPr>
          <w:rFonts w:ascii="Liberation Serif" w:hAnsi="Liberation Serif" w:cs="Liberation Serif" w:eastAsia="Liberation Serif"/>
          <w:b/>
          <w:color w:val="3333FF"/>
          <w:spacing w:val="-20"/>
          <w:sz w:val="32"/>
          <w:szCs w:val="36"/>
        </w:rPr>
      </w:r>
      <w:r/>
    </w:p>
    <w:p>
      <w:pPr>
        <w:contextualSpacing w:val="true"/>
        <w:jc w:val="center"/>
        <w:spacing w:lineRule="auto" w:line="240" w:after="0" w:afterAutospacing="0" w:before="0" w:beforeAutospacing="0"/>
        <w:rPr>
          <w:rFonts w:ascii="Liberation Serif" w:hAnsi="Liberation Serif" w:cs="Liberation Serif" w:eastAsia="Liberation Serif"/>
          <w:color w:val="3333FF"/>
        </w:rPr>
      </w:pPr>
      <w:r>
        <w:rPr>
          <w:rFonts w:ascii="Liberation Serif" w:hAnsi="Liberation Serif" w:cs="Liberation Serif" w:eastAsia="Liberation Serif"/>
          <w:b/>
          <w:color w:val="3333FF"/>
          <w:spacing w:val="-20"/>
          <w:sz w:val="32"/>
          <w:szCs w:val="36"/>
        </w:rPr>
        <w:t xml:space="preserve">И ЖИЛИЩНО-КОММУНАЛЬНОГО КОМПЛЕКСА </w:t>
      </w:r>
      <w:r>
        <w:rPr>
          <w:rFonts w:ascii="Liberation Serif" w:hAnsi="Liberation Serif" w:cs="Liberation Serif" w:eastAsia="Liberation Serif"/>
          <w:b/>
          <w:color w:val="3333FF"/>
          <w:spacing w:val="-20"/>
          <w:sz w:val="32"/>
          <w:szCs w:val="36"/>
        </w:rPr>
      </w:r>
      <w:r/>
    </w:p>
    <w:p>
      <w:pPr>
        <w:contextualSpacing w:val="true"/>
        <w:jc w:val="center"/>
        <w:spacing w:lineRule="auto" w:line="240" w:after="0" w:afterAutospacing="0" w:before="0" w:beforeAutospacing="0"/>
        <w:rPr>
          <w:rFonts w:ascii="Liberation Serif" w:hAnsi="Liberation Serif" w:cs="Liberation Serif" w:eastAsia="Liberation Serif"/>
          <w:color w:val="3333FF"/>
        </w:rPr>
      </w:pPr>
      <w:r>
        <w:rPr>
          <w:rFonts w:ascii="Liberation Serif" w:hAnsi="Liberation Serif" w:cs="Liberation Serif" w:eastAsia="Liberation Serif"/>
          <w:b/>
          <w:color w:val="3333FF"/>
          <w:sz w:val="32"/>
          <w:szCs w:val="36"/>
        </w:rPr>
        <w:t xml:space="preserve">ЯМАЛО-НЕНЕЦКОГО АВТОНОМНОГО ОКРУГА</w:t>
      </w:r>
      <w:r>
        <w:rPr>
          <w:rFonts w:ascii="Liberation Serif" w:hAnsi="Liberation Serif" w:cs="Liberation Serif" w:eastAsia="Liberation Serif"/>
          <w:b/>
          <w:color w:val="3333FF"/>
          <w:sz w:val="32"/>
          <w:szCs w:val="36"/>
        </w:rPr>
      </w:r>
      <w:r/>
    </w:p>
    <w:p>
      <w:pPr>
        <w:contextualSpacing w:val="true"/>
        <w:jc w:val="center"/>
        <w:spacing w:lineRule="auto" w:line="240" w:after="0" w:afterAutospacing="0" w:before="0" w:beforeAutospacing="0"/>
        <w:tabs>
          <w:tab w:val="left" w:pos="720" w:leader="none"/>
        </w:tabs>
        <w:rPr>
          <w:rFonts w:ascii="Liberation Serif" w:hAnsi="Liberation Serif" w:cs="Liberation Serif" w:eastAsia="Liberation Serif"/>
          <w:color w:val="3333FF"/>
        </w:rPr>
      </w:pPr>
      <w:r>
        <w:rPr>
          <w:rFonts w:ascii="Liberation Serif" w:hAnsi="Liberation Serif" w:cs="Liberation Serif" w:eastAsia="Liberation Serif"/>
          <w:color w:val="3333FF"/>
          <w:sz w:val="32"/>
        </w:rPr>
      </w:r>
      <w:r>
        <w:rPr>
          <w:rFonts w:ascii="Liberation Serif" w:hAnsi="Liberation Serif" w:cs="Liberation Serif" w:eastAsia="Liberation Serif"/>
          <w:color w:val="3333FF"/>
          <w:sz w:val="32"/>
        </w:rPr>
      </w:r>
      <w:r/>
    </w:p>
    <w:p>
      <w:pPr>
        <w:contextualSpacing w:val="false"/>
        <w:jc w:val="center"/>
        <w:spacing w:lineRule="auto" w:line="240" w:before="0" w:beforeAutospacing="0"/>
        <w:rPr>
          <w:rFonts w:ascii="Liberation Serif" w:hAnsi="Liberation Serif" w:cs="Liberation Serif" w:eastAsia="Liberation Serif"/>
          <w:color w:val="3333FF"/>
        </w:rPr>
      </w:pPr>
      <w:r>
        <w:rPr>
          <w:rFonts w:ascii="Liberation Serif" w:hAnsi="Liberation Serif" w:cs="Liberation Serif" w:eastAsia="Liberation Serif"/>
          <w:b/>
          <w:color w:val="3333FF"/>
          <w:sz w:val="32"/>
          <w:szCs w:val="40"/>
        </w:rPr>
        <w:t xml:space="preserve">ПРИКАЗ</w:t>
      </w:r>
      <w:r>
        <w:rPr>
          <w:rFonts w:ascii="Liberation Serif" w:hAnsi="Liberation Serif" w:cs="Liberation Serif" w:eastAsia="Liberation Serif"/>
          <w:b/>
          <w:color w:val="3333FF"/>
          <w:sz w:val="32"/>
          <w:szCs w:val="36"/>
        </w:rPr>
      </w:r>
      <w:r/>
    </w:p>
    <w:p>
      <w:pPr>
        <w:contextualSpacing w:val="false"/>
        <w:spacing w:lineRule="auto" w:line="240" w:before="0" w:beforeAutospacing="0"/>
        <w:tabs>
          <w:tab w:val="left" w:pos="9900" w:leader="none"/>
        </w:tabs>
        <w:rPr>
          <w:rFonts w:ascii="Liberation Serif" w:hAnsi="Liberation Serif" w:cs="Liberation Serif" w:eastAsia="Liberation Serif"/>
          <w:color w:val="3333FF"/>
        </w:rPr>
      </w:pPr>
      <w:r>
        <w:rPr>
          <w:rFonts w:ascii="Liberation Serif" w:hAnsi="Liberation Serif" w:cs="Liberation Serif" w:eastAsia="Liberation Serif"/>
          <w:color w:val="3333FF"/>
          <w:sz w:val="32"/>
        </w:rPr>
        <w:t xml:space="preserve">29 декабря</w:t>
      </w:r>
      <w:r>
        <w:rPr>
          <w:rFonts w:ascii="Liberation Serif" w:hAnsi="Liberation Serif" w:cs="Liberation Serif" w:eastAsia="Liberation Serif"/>
          <w:color w:val="3333FF"/>
          <w:sz w:val="28"/>
        </w:rPr>
        <w:t xml:space="preserve"> 2022 г.                                                                                      № 903-т</w:t>
      </w:r>
      <w:r>
        <w:rPr>
          <w:rFonts w:ascii="Liberation Serif" w:hAnsi="Liberation Serif" w:cs="Liberation Serif" w:eastAsia="Liberation Serif"/>
          <w:color w:val="3333FF"/>
          <w:sz w:val="28"/>
        </w:rPr>
      </w:r>
      <w:r/>
    </w:p>
    <w:p>
      <w:pPr>
        <w:contextualSpacing w:val="false"/>
        <w:jc w:val="center"/>
        <w:spacing w:lineRule="auto" w:line="240" w:before="0" w:beforeAutospacing="0"/>
        <w:tabs>
          <w:tab w:val="left" w:pos="9900" w:leader="none"/>
        </w:tabs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color w:val="0000FF"/>
          <w:sz w:val="28"/>
        </w:rPr>
        <w:t xml:space="preserve">г. Салехард</w:t>
      </w:r>
      <w:r>
        <w:rPr>
          <w:rFonts w:ascii="Liberation Serif" w:hAnsi="Liberation Serif" w:cs="Liberation Serif" w:eastAsia="Liberation Serif"/>
          <w:b/>
          <w:color w:val="0000FF"/>
          <w:spacing w:val="-20"/>
          <w:sz w:val="24"/>
          <w:szCs w:val="24"/>
        </w:rPr>
      </w:r>
      <w:r/>
    </w:p>
    <w:p>
      <w:pPr>
        <w:contextualSpacing w:val="true"/>
        <w:ind w:firstLine="709"/>
        <w:jc w:val="center"/>
        <w:spacing w:lineRule="auto" w:line="240" w:before="0" w:beforeAutospacing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Cs/>
          <w:sz w:val="24"/>
          <w:szCs w:val="24"/>
        </w:rPr>
        <w:t xml:space="preserve">Включен в регистр нормативных правовых актов </w:t>
      </w:r>
      <w:r>
        <w:rPr>
          <w:rFonts w:ascii="Liberation Serif" w:hAnsi="Liberation Serif" w:cs="Liberation Serif" w:eastAsia="Liberation Serif"/>
          <w:bCs/>
          <w:sz w:val="24"/>
          <w:szCs w:val="24"/>
        </w:rPr>
      </w:r>
      <w:r/>
    </w:p>
    <w:p>
      <w:pPr>
        <w:contextualSpacing w:val="true"/>
        <w:ind w:firstLine="709"/>
        <w:jc w:val="center"/>
        <w:spacing w:lineRule="auto" w:line="240" w:before="0" w:beforeAutospacing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Cs/>
          <w:sz w:val="24"/>
          <w:szCs w:val="24"/>
        </w:rPr>
        <w:t xml:space="preserve">Ямало-Ненецкого автономного округа ________________________20__г.</w:t>
      </w:r>
      <w:r>
        <w:rPr>
          <w:rFonts w:ascii="Liberation Serif" w:hAnsi="Liberation Serif" w:cs="Liberation Serif" w:eastAsia="Liberation Serif"/>
          <w:bCs/>
          <w:sz w:val="24"/>
          <w:szCs w:val="24"/>
        </w:rPr>
      </w:r>
      <w:r/>
    </w:p>
    <w:p>
      <w:pPr>
        <w:contextualSpacing w:val="true"/>
        <w:jc w:val="center"/>
        <w:spacing w:lineRule="auto" w:line="240" w:before="0" w:beforeAutospacing="0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Cs/>
          <w:sz w:val="24"/>
          <w:szCs w:val="24"/>
        </w:rPr>
        <w:t xml:space="preserve">Регистрационный №______________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7"/>
        <w:contextualSpacing w:val="false"/>
        <w:jc w:val="center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7"/>
        <w:contextualSpacing w:val="false"/>
        <w:jc w:val="center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 утверждении льготных ставок за </w:t>
      </w:r>
      <w:r>
        <w:rPr>
          <w:rFonts w:ascii="Liberation Serif" w:hAnsi="Liberation Serif" w:cs="Liberation Serif"/>
          <w:sz w:val="28"/>
          <w:szCs w:val="28"/>
        </w:rPr>
        <w:t xml:space="preserve">1 кВт </w:t>
      </w:r>
      <w:r>
        <w:rPr>
          <w:rFonts w:ascii="Liberation Serif" w:hAnsi="Liberation Serif" w:cs="Liberation Serif"/>
          <w:sz w:val="28"/>
          <w:szCs w:val="28"/>
        </w:rPr>
        <w:t xml:space="preserve">запрашиваемой максимальной мощности при технологическом п</w:t>
      </w:r>
      <w:r>
        <w:rPr>
          <w:rFonts w:ascii="Liberation Serif" w:hAnsi="Liberation Serif" w:cs="Liberation Serif"/>
          <w:sz w:val="28"/>
          <w:szCs w:val="28"/>
        </w:rPr>
        <w:t xml:space="preserve">рисоединении энергопринимающих устройств заявителей к электрическим сетям </w:t>
        <w:br/>
        <w:t xml:space="preserve">на территории Ямало-Ненецкого автономного округа, на 2023 год </w:t>
      </w:r>
      <w:r/>
    </w:p>
    <w:p>
      <w:pPr>
        <w:pStyle w:val="816"/>
        <w:contextualSpacing w:val="false"/>
        <w:ind w:firstLine="540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26 марта 2003 года </w:t>
        <w:br/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35-ФЗ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Об электроэнергетике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остановлением Правительства Российской Федерации от 29 декабря 2011 года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1178 </w:t>
      </w:r>
      <w:r>
        <w:rPr>
          <w:rFonts w:ascii="Liberation Serif" w:hAnsi="Liberation Serif" w:cs="Liberation Serif"/>
          <w:sz w:val="28"/>
          <w:szCs w:val="28"/>
        </w:rPr>
        <w:t xml:space="preserve">«</w:t>
      </w:r>
      <w:r>
        <w:rPr>
          <w:rFonts w:ascii="Liberation Serif" w:hAnsi="Liberation Serif" w:cs="Liberation Serif"/>
          <w:sz w:val="28"/>
          <w:szCs w:val="28"/>
        </w:rPr>
        <w:t xml:space="preserve">О ценообразовании в области регулируемых цен (тарифов) в электроэнергетике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, Правилами технологического </w:t>
      </w:r>
      <w:r>
        <w:rPr>
          <w:rFonts w:ascii="Liberation Serif" w:hAnsi="Liberation Serif" w:cs="Liberation Serif"/>
          <w:sz w:val="28"/>
          <w:szCs w:val="28"/>
        </w:rPr>
        <w:t xml:space="preserve">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</w:r>
      <w:r>
        <w:rPr>
          <w:rFonts w:ascii="Liberation Serif" w:hAnsi="Liberation Serif" w:cs="Liberation Serif"/>
          <w:sz w:val="28"/>
          <w:szCs w:val="28"/>
        </w:rPr>
        <w:t xml:space="preserve">п</w:t>
      </w:r>
      <w:r>
        <w:rPr>
          <w:rFonts w:ascii="Liberation Serif" w:hAnsi="Liberation Serif" w:cs="Liberation Serif"/>
          <w:sz w:val="28"/>
          <w:szCs w:val="28"/>
        </w:rPr>
        <w:t xml:space="preserve">остановлением Правительства Российской Федерации от 27 декабря 2004 года </w:t>
      </w:r>
      <w:r>
        <w:rPr>
          <w:rFonts w:ascii="Liberation Serif" w:hAnsi="Liberation Serif" w:cs="Liberation Serif"/>
          <w:sz w:val="28"/>
          <w:szCs w:val="28"/>
        </w:rPr>
        <w:t xml:space="preserve">№</w:t>
      </w:r>
      <w:r>
        <w:rPr>
          <w:rFonts w:ascii="Liberation Serif" w:hAnsi="Liberation Serif" w:cs="Liberation Serif"/>
          <w:sz w:val="28"/>
          <w:szCs w:val="28"/>
        </w:rPr>
        <w:t xml:space="preserve"> 861,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приказом ФАС России от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30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июня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2022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года </w:t>
      </w:r>
      <w:r>
        <w:rPr>
          <w:rFonts w:ascii="Liberation Serif" w:hAnsi="Liberation Serif" w:cs="Liberation Serif"/>
          <w:sz w:val="28"/>
          <w:szCs w:val="28"/>
          <w:highlight w:val="white"/>
        </w:rPr>
        <w:br/>
        <w:t xml:space="preserve">№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490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/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22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«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Об утверждении Методических указаний по определению размера платы за технологическое присоединение к электрическим сетям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»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, постановлением Правительства Ямало-Ненецкого автономного округа от 25 декабря 2013 года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№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1081-П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«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О департамент</w:t>
      </w:r>
      <w:r>
        <w:rPr>
          <w:rFonts w:ascii="Liberation Serif" w:hAnsi="Liberation Serif" w:cs="Liberation Serif"/>
          <w:sz w:val="28"/>
          <w:szCs w:val="28"/>
        </w:rPr>
        <w:t xml:space="preserve">е тарифной политики, энергетики и жилищно-коммунального комплекса Ямало-Ненецкого автономного округа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п р и к а з ы в а ю: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  <w:highlight w:val="none"/>
        </w:rPr>
      </w:pPr>
      <w:r/>
      <w:bookmarkStart w:id="0" w:name="P18"/>
      <w:r/>
      <w:bookmarkEnd w:id="0"/>
      <w:r>
        <w:rPr>
          <w:rFonts w:ascii="Liberation Serif" w:hAnsi="Liberation Serif" w:cs="Liberation Serif"/>
          <w:sz w:val="28"/>
          <w:szCs w:val="28"/>
        </w:rPr>
        <w:t xml:space="preserve">1. Установить льготную ставку за 1 кВт запрашиваемой максимальной мощности при технологическом п</w:t>
      </w:r>
      <w:r>
        <w:rPr>
          <w:rFonts w:ascii="Liberation Serif" w:hAnsi="Liberation Serif" w:cs="Liberation Serif"/>
          <w:sz w:val="28"/>
          <w:szCs w:val="28"/>
        </w:rPr>
        <w:t xml:space="preserve">рисоединении энергопринимающих устройств заявителей к электрическим сетям на территории Ямало-Ненецкого автономного округа (далее - технологическое присоединение энергопринимающих устройств) - физических лиц, максимальная мощность которых не превышает 15 к</w:t>
      </w:r>
      <w:r>
        <w:rPr>
          <w:rFonts w:ascii="Liberation Serif" w:hAnsi="Liberation Serif" w:cs="Liberation Serif"/>
          <w:sz w:val="28"/>
          <w:szCs w:val="28"/>
        </w:rPr>
        <w:t xml:space="preserve">Вт включительно (с учетом ранее присоединенных в данной точке присоединения энергопринимающих устройств), владеющих объектами, отнесенными к третьей категории надежности (по одному источнику электроснабжения), при условии, что расстояние от границ участка </w:t>
      </w:r>
      <w:r>
        <w:rPr>
          <w:rFonts w:ascii="Liberation Serif" w:hAnsi="Liberation Serif" w:cs="Liberation Serif"/>
          <w:sz w:val="28"/>
          <w:szCs w:val="28"/>
        </w:rPr>
        <w:t xml:space="preserve">заявителя до объектов электросетевого хозяйства на уровне напряжения </w:t>
        <w:br/>
        <w:t xml:space="preserve">0,4 кВ и ниже необходимого заявителю класса напряжения сетевой организации, в которую подана заявка на технологическое п</w:t>
      </w:r>
      <w:r>
        <w:rPr>
          <w:rFonts w:ascii="Liberation Serif" w:hAnsi="Liberation Serif" w:cs="Liberation Serif"/>
          <w:sz w:val="28"/>
          <w:szCs w:val="28"/>
        </w:rPr>
        <w:t xml:space="preserve">рисоединение энергопринимающих устройств (далее - заявка), составляет не более 300 метров в городах и поселках городского типа и не более 500 метров в сельской местности, объектов микрогенерации, в том числе за одновременное технологическое присоединение э</w:t>
      </w:r>
      <w:r>
        <w:rPr>
          <w:rFonts w:ascii="Liberation Serif" w:hAnsi="Liberation Serif" w:cs="Liberation Serif"/>
          <w:sz w:val="28"/>
          <w:szCs w:val="28"/>
        </w:rPr>
        <w:t xml:space="preserve">нергопринимающих устройств и объектов микрогенерации, при заключении договора членом малообеспеченной семьи (одиноко проживающим гражданином), среднедушевой доход которой (доход которого) ниже величины прожиточного минимума, определенной в соответствии со </w:t>
      </w:r>
      <w:hyperlink r:id="rId10" w:tooltip="consultantplus://offline/ref=E743DB87D8FECF50A1DE1B92F6A39690519C26644CCFFB70D98974D85D15EF8A395AE6E94DD6DFF24D22020BFF28EC02DC5EB80C7AB4C9207Cp4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статьей 4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24 октября 1997 года </w:t>
        <w:br/>
        <w:t xml:space="preserve">№ 134-ФЗ «О прожиточном минимуме в Российской Федерации», а также лицами, указанными в </w:t>
      </w:r>
      <w:hyperlink r:id="rId11" w:tooltip="consultantplus://offline/ref=E743DB87D8FECF50A1DE1B92F6A39690569825654EC6FB70D98974D85D15EF8A395AE6EA45DD8BA5017C5B5ABE63E000C742B90C76p6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статьях 14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12" w:tooltip="consultantplus://offline/ref=E743DB87D8FECF50A1DE1B92F6A39690569825654EC6FB70D98974D85D15EF8A395AE6ED45DD8BA5017C5B5ABE63E000C742B90C76p6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16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3" w:tooltip="consultantplus://offline/ref=E743DB87D8FECF50A1DE1B92F6A39690569825654EC6FB70D98974D85D15EF8A395AE6E94DD6DAF54622020BFF28EC02DC5EB80C7AB4C9207Cp4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18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4" w:tooltip="consultantplus://offline/ref=E743DB87D8FECF50A1DE1B92F6A39690569825654EC6FB70D98974D85D15EF8A395AE6E94CD2D4A0146D0357BB78FF03DB5EBB0E667Bp4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21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  <w:br/>
        <w:t xml:space="preserve">от 12 января 1995 года № 5-ФЗ «О ветеранах», </w:t>
      </w:r>
      <w:hyperlink r:id="rId15" w:tooltip="consultantplus://offline/ref=E743DB87D8FECF50A1DE1B92F6A39690569A246F42CDFB70D98974D85D15EF8A395AE6EA4AD7D4A0146D0357BB78FF03DB5EBB0E667Bp4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статье 17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24 ноября 1995 года № 181-ФЗ «О социальной защите инвалидов в Российской Федерации», </w:t>
      </w:r>
      <w:hyperlink r:id="rId16" w:tooltip="consultantplus://offline/ref=E743DB87D8FECF50A1DE1B92F6A39690569B266A4BC6FB70D98974D85D15EF8A395AE6E944DD8BA5017C5B5ABE63E000C742B90C76p6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статье 14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</w:t>
      </w:r>
      <w:hyperlink r:id="rId17" w:tooltip="consultantplus://offline/ref=E743DB87D8FECF50A1DE1B92F6A39690569B266A4BC8FB70D98974D85D15EF8A395AE6ED46828EB01024565FA57CE31CDB40BB70pC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статье 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 </w:t>
      </w:r>
      <w:hyperlink r:id="rId18" w:tooltip="consultantplus://offline/ref=E743DB87D8FECF50A1DE1B92F6A3969051932C694FC9FB70D98974D85D15EF8A395AE6E94DD3D6F44122020BFF28EC02DC5EB80C7AB4C9207Cp4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части 8 статьи 154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Федерального</w:t>
      </w:r>
      <w:r>
        <w:rPr>
          <w:rFonts w:ascii="Liberation Serif" w:hAnsi="Liberation Serif" w:cs="Liberation Serif"/>
          <w:sz w:val="28"/>
          <w:szCs w:val="28"/>
        </w:rPr>
        <w:t xml:space="preserve"> з</w:t>
      </w:r>
      <w:r>
        <w:rPr>
          <w:rFonts w:ascii="Liberation Serif" w:hAnsi="Liberation Serif" w:cs="Liberation Serif"/>
          <w:sz w:val="28"/>
          <w:szCs w:val="28"/>
        </w:rPr>
        <w:t xml:space="preserve">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</w:t>
      </w:r>
      <w:r>
        <w:rPr>
          <w:rFonts w:ascii="Liberation Serif" w:hAnsi="Liberation Serif" w:cs="Liberation Serif"/>
          <w:sz w:val="28"/>
          <w:szCs w:val="28"/>
        </w:rPr>
        <w:t xml:space="preserve">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hyperlink r:id="rId19" w:tooltip="consultantplus://offline/ref=E743DB87D8FECF50A1DE1B92F6A39690569B266B43CDFB70D98974D85D15EF8A395AE6E94DD6DFF44D22020BFF28EC02DC5EB80C7AB4C9207Cp4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статье 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</w:t>
      </w:r>
      <w:hyperlink r:id="rId20" w:tooltip="consultantplus://offline/ref=E743DB87D8FECF50A1DE1B92F6A39690539325654DC8FB70D98974D85D15EF8A395AE6E94DD6DFF44022020BFF28EC02DC5EB80C7AB4C9207Cp4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пункте 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21" w:tooltip="consultantplus://offline/ref=E743DB87D8FECF50A1DE1B92F6A39690539325654DC8FB70D98974D85D15EF8A395AE6EC46828EB01024565FA57CE31CDB40BB70pC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абзаце четвертом пункта 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постановления Верховног</w:t>
      </w:r>
      <w:r>
        <w:rPr>
          <w:rFonts w:ascii="Liberation Serif" w:hAnsi="Liberation Serif" w:cs="Liberation Serif"/>
          <w:sz w:val="28"/>
          <w:szCs w:val="28"/>
        </w:rPr>
        <w:t xml:space="preserve">о</w:t>
      </w:r>
      <w:r>
        <w:rPr>
          <w:rFonts w:ascii="Liberation Serif" w:hAnsi="Liberation Serif" w:cs="Liberation Serif"/>
          <w:sz w:val="28"/>
          <w:szCs w:val="28"/>
        </w:rPr>
        <w:t xml:space="preserve"> Совета Российской Федерации от 27 декабря 1991 года № 2123-1 «О распространении действия Закона РСФСР </w:t>
        <w:br/>
        <w:t xml:space="preserve">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 </w:t>
      </w:r>
      <w:hyperlink r:id="rId22" w:tooltip="consultantplus://offline/ref=E743DB87D8FECF50A1DE1B92F6A39690569A25684BC4A67AD1D078DA5A1AB08F3E4BE6E848C8DEF65B2B56587Bp9F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Указе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05 мая 1992 года № 431 «О мерах по социальной поддержке многодетных семей»</w:t>
        <w:br/>
        <w:t xml:space="preserve"> (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соц</w:t>
      </w:r>
      <w:r>
        <w:rPr>
          <w:rFonts w:ascii="Liberation Serif" w:hAnsi="Liberation Serif" w:cs="Liberation Serif"/>
          <w:sz w:val="28"/>
          <w:szCs w:val="28"/>
        </w:rPr>
        <w:t xml:space="preserve">, руб./кВт) в отношении всей совокупности мероприятий по технологическому присоединению, в размере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1 </w:t>
      </w:r>
      <w:r>
        <w:rPr>
          <w:rFonts w:ascii="Liberation Serif" w:hAnsi="Liberation Serif" w:cs="Liberation Serif"/>
          <w:sz w:val="28"/>
          <w:szCs w:val="28"/>
        </w:rPr>
        <w:t xml:space="preserve">064</w:t>
      </w:r>
      <w:r>
        <w:rPr>
          <w:rFonts w:ascii="Liberation Serif" w:hAnsi="Liberation Serif" w:cs="Liberation Serif"/>
          <w:sz w:val="28"/>
          <w:szCs w:val="28"/>
        </w:rPr>
        <w:t xml:space="preserve"> рублей (с учетом НДС) за каждый кВт запрашиваемой максимальной мощности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</w:t>
      </w:r>
      <w:r>
        <w:rPr>
          <w:rFonts w:ascii="Liberation Serif" w:hAnsi="Liberation Serif" w:cs="Liberation Serif"/>
          <w:sz w:val="28"/>
          <w:szCs w:val="28"/>
        </w:rPr>
        <w:t xml:space="preserve">. Установить льготную ставку за 1 кВт запрашиваемой максимальной мощности при технологическом присоединении объектов микрогенерации (за исключением случаев подачи заявки заявителем - юридическим лицом или </w:t>
      </w:r>
      <w:r>
        <w:rPr>
          <w:rFonts w:ascii="Liberation Serif" w:hAnsi="Liberation Serif" w:cs="Liberation Serif"/>
          <w:sz w:val="28"/>
          <w:szCs w:val="28"/>
        </w:rPr>
        <w:t xml:space="preserve">индивидуальным предпринимателем в целях одновременного присоединения энергопринимающих устройств и объектов микрогенерации), в том числе при одновременном технологи</w:t>
      </w:r>
      <w:r>
        <w:rPr>
          <w:rFonts w:ascii="Liberation Serif" w:hAnsi="Liberation Serif" w:cs="Liberation Serif"/>
          <w:sz w:val="28"/>
          <w:szCs w:val="28"/>
        </w:rPr>
        <w:t xml:space="preserve">ческом присоединении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и объектов микрогенерации</w:t>
      </w:r>
      <w:r>
        <w:rPr>
          <w:rFonts w:ascii="Liberation Serif" w:hAnsi="Liberation Serif" w:cs="Liberation Serif"/>
          <w:sz w:val="28"/>
          <w:szCs w:val="28"/>
        </w:rPr>
        <w:t xml:space="preserve">, а также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за исключением случаев, указанных в </w:t>
      </w:r>
      <w:r>
        <w:rPr>
          <w:rFonts w:ascii="Liberation Serif" w:hAnsi="Liberation Serif" w:cs="Liberation Serif"/>
          <w:sz w:val="28"/>
          <w:szCs w:val="28"/>
        </w:rPr>
        <w:t xml:space="preserve">пункте 1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приказа, устанавливаемая в отношении всей совокупности мероприятий по</w:t>
      </w:r>
      <w:r>
        <w:rPr>
          <w:rFonts w:ascii="Liberation Serif" w:hAnsi="Liberation Serif" w:cs="Liberation Serif"/>
          <w:sz w:val="28"/>
          <w:szCs w:val="28"/>
        </w:rPr>
        <w:t xml:space="preserve"> технологическому присоединению, при присоединении энергопринимающих устройств и (или) объектов микрогенерации по третьей категории надежности к объектам электросетевого хозяйства сетевой организации на уровне напряжения 0,4 кВ и ниже, при условии, что рас</w:t>
      </w:r>
      <w:r>
        <w:rPr>
          <w:rFonts w:ascii="Liberation Serif" w:hAnsi="Liberation Serif" w:cs="Liberation Serif"/>
          <w:sz w:val="28"/>
          <w:szCs w:val="28"/>
        </w:rPr>
        <w:t xml:space="preserve">стояние от границ участка заявителя до ближайшего объекта электрической сети необходимого заявителю класса напряжения, в которую подана заявка, составляет не более 300 метров в городах и поселках городского типа и не более 500 метров в сельской местности (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несоц</w:t>
      </w:r>
      <w:r>
        <w:rPr>
          <w:rFonts w:ascii="Liberation Serif" w:hAnsi="Liberation Serif" w:cs="Liberation Serif"/>
          <w:sz w:val="28"/>
          <w:szCs w:val="28"/>
        </w:rPr>
        <w:t xml:space="preserve">, руб./кВт) в размере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-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с 01 января 2023 года по 30 июня 2023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года –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3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192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рублей (с учетом НДС) за каждый кВт запрашиваемой максимальной мощности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-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с 01 июля 2023 по 31 декабря 2023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года –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4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 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256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рублей (с учетом НДС) за каждый кВт запрашиваемой максимальной мощности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(включительно).</w:t>
      </w:r>
      <w:bookmarkStart w:id="1" w:name="P22"/>
      <w:r>
        <w:rPr>
          <w:highlight w:val="white"/>
        </w:rPr>
      </w:r>
      <w:bookmarkEnd w:id="1"/>
      <w:r>
        <w:rPr>
          <w:highlight w:val="white"/>
        </w:rPr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</w:t>
      </w:r>
      <w:r>
        <w:rPr>
          <w:rFonts w:ascii="Liberation Serif" w:hAnsi="Liberation Serif" w:cs="Liberation Serif"/>
          <w:sz w:val="28"/>
          <w:szCs w:val="28"/>
        </w:rPr>
        <w:t xml:space="preserve">. В случаях заключения договора технологического присоединения энергопринимающих устройств заяв</w:t>
      </w:r>
      <w:r>
        <w:rPr>
          <w:rFonts w:ascii="Liberation Serif" w:hAnsi="Liberation Serif" w:cs="Liberation Serif"/>
          <w:sz w:val="28"/>
          <w:szCs w:val="28"/>
        </w:rPr>
        <w:t xml:space="preserve">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владеющих объектами, отнесенными к третьей категории надежности (по одному ист</w:t>
      </w:r>
      <w:r>
        <w:rPr>
          <w:rFonts w:ascii="Liberation Serif" w:hAnsi="Liberation Serif" w:cs="Liberation Serif"/>
          <w:sz w:val="28"/>
          <w:szCs w:val="28"/>
        </w:rPr>
        <w:t xml:space="preserve">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необходимого заявителю класса напряжения сетевой организации, в которую подана заявка, составляет не </w:t>
      </w:r>
      <w:r>
        <w:rPr>
          <w:rFonts w:ascii="Liberation Serif" w:hAnsi="Liberation Serif" w:cs="Liberation Serif"/>
          <w:sz w:val="28"/>
          <w:szCs w:val="28"/>
        </w:rPr>
        <w:t xml:space="preserve">более 300 метров в городах и поселках городского типа и не более 500 метров в сельской местности, объектов микрогенерации, в том числе за одновременное технологическое присоединение энергопринимающих устройств и объектов микрогенерации, лицами, указанными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в пункте 1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приказа, определять плату за технологическое присоединение энергопринимающих устройств и (или) объектов микрогенерации (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соц</w:t>
      </w:r>
      <w:r>
        <w:rPr>
          <w:rFonts w:ascii="Liberation Serif" w:hAnsi="Liberation Serif" w:cs="Liberation Serif"/>
          <w:sz w:val="28"/>
          <w:szCs w:val="28"/>
        </w:rPr>
        <w:t xml:space="preserve">) исходя из стоимости мероприятий по технологическому присоединению в соответствии с формулой (1):</w:t>
      </w:r>
      <w:r/>
    </w:p>
    <w:p>
      <w:pPr>
        <w:pStyle w:val="816"/>
        <w:contextualSpacing w:val="false"/>
        <w:ind w:firstLine="851"/>
        <w:jc w:val="center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jc w:val="center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соц</w:t>
      </w:r>
      <w:r>
        <w:rPr>
          <w:rFonts w:ascii="Liberation Serif" w:hAnsi="Liberation Serif" w:cs="Liberation Serif"/>
          <w:sz w:val="28"/>
          <w:szCs w:val="28"/>
        </w:rPr>
        <w:t xml:space="preserve"> = </w:t>
      </w:r>
      <w:r>
        <w:rPr>
          <w:rFonts w:ascii="Liberation Serif" w:hAnsi="Liberation Serif" w:cs="Liberation Serif"/>
          <w:sz w:val="28"/>
          <w:szCs w:val="28"/>
        </w:rPr>
        <w:t xml:space="preserve">min</w:t>
      </w:r>
      <w:r>
        <w:rPr>
          <w:rFonts w:ascii="Liberation Serif" w:hAnsi="Liberation Serif" w:cs="Liberation Serif"/>
          <w:sz w:val="28"/>
          <w:szCs w:val="28"/>
        </w:rPr>
        <w:t xml:space="preserve"> {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станд.ст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соц</w:t>
      </w:r>
      <w:r>
        <w:rPr>
          <w:rFonts w:ascii="Liberation Serif" w:hAnsi="Liberation Serif" w:cs="Liberation Serif"/>
          <w:sz w:val="28"/>
          <w:szCs w:val="28"/>
        </w:rPr>
        <w:t xml:space="preserve"> · N} (1),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где: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станд.ст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 - стоимость мероприятий по технологическому </w:t>
      </w:r>
      <w:r>
        <w:rPr>
          <w:rFonts w:ascii="Liberation Serif" w:hAnsi="Liberation Serif" w:cs="Liberation Serif"/>
          <w:sz w:val="28"/>
          <w:szCs w:val="28"/>
        </w:rPr>
        <w:t xml:space="preserve">присоединению, рассчитанная с использованием стандартизированных тарифных ставок по утвержденной регулирующим органом формуле платы за технологическое присоединение, руб.;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соц</w:t>
      </w:r>
      <w:r>
        <w:rPr>
          <w:rFonts w:ascii="Liberation Serif" w:hAnsi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cs="Liberation Serif"/>
          <w:sz w:val="28"/>
          <w:szCs w:val="28"/>
        </w:rPr>
        <w:t xml:space="preserve">1 </w:t>
      </w:r>
      <w:r>
        <w:rPr>
          <w:rFonts w:ascii="Liberation Serif" w:hAnsi="Liberation Serif" w:cs="Liberation Serif"/>
          <w:sz w:val="28"/>
          <w:szCs w:val="28"/>
        </w:rPr>
        <w:t xml:space="preserve">064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руб./кВт</w:t>
      </w:r>
      <w:r>
        <w:rPr>
          <w:rFonts w:ascii="Liberation Serif" w:hAnsi="Liberation Serif" w:cs="Liberation Serif"/>
          <w:sz w:val="28"/>
          <w:szCs w:val="28"/>
        </w:rPr>
        <w:t xml:space="preserve"> (с учетом НДС)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N - запрашиваемая максимальная мощность присоединяемых устройств, кВт.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cs="Liberation Serif"/>
          <w:sz w:val="28"/>
          <w:szCs w:val="28"/>
        </w:rPr>
        <w:t xml:space="preserve">. В случае технологического присоединения объектов микрогенерации заявителей - физических лиц, в том чис</w:t>
      </w:r>
      <w:r>
        <w:rPr>
          <w:rFonts w:ascii="Liberation Serif" w:hAnsi="Liberation Serif" w:cs="Liberation Serif"/>
          <w:sz w:val="28"/>
          <w:szCs w:val="28"/>
        </w:rPr>
        <w:t xml:space="preserve">ле при одновременном технологическом присоединении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</w:t>
      </w:r>
      <w:r>
        <w:rPr>
          <w:rFonts w:ascii="Liberation Serif" w:hAnsi="Liberation Serif" w:cs="Liberation Serif"/>
          <w:sz w:val="28"/>
          <w:szCs w:val="28"/>
        </w:rPr>
        <w:t xml:space="preserve">тв), и объектов микрогенерации, а также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при пр</w:t>
      </w:r>
      <w:r>
        <w:rPr>
          <w:rFonts w:ascii="Liberation Serif" w:hAnsi="Liberation Serif" w:cs="Liberation Serif"/>
          <w:sz w:val="28"/>
          <w:szCs w:val="28"/>
        </w:rPr>
        <w:t xml:space="preserve">исоединении энергопринимающих устройств и (или) объектов микрогенерации по третьей категории надежности к объектам электросетевого хозяйства сетевой организации на уровне напряжения 0,4 кВ и ниже при условии, что расстояние от границ участка заявителя до б</w:t>
      </w:r>
      <w:r>
        <w:rPr>
          <w:rFonts w:ascii="Liberation Serif" w:hAnsi="Liberation Serif" w:cs="Liberation Serif"/>
          <w:sz w:val="28"/>
          <w:szCs w:val="28"/>
        </w:rPr>
        <w:t xml:space="preserve">лижайшего объекта электрической сети необходимого заявителю класса напряжения, в которую подана заявка, составляет не более 300 метров в городах и поселках городского типа и не более 500 метров в сельской местности, за исключением случаев, предусмотренных </w:t>
      </w:r>
      <w:hyperlink w:tooltip="#P22" w:anchor="P22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пунктом 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приказа, определять плату за технологическое присоединение энергопринимающих устройств и (или) объектов микрогенерации (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несоц</w:t>
      </w:r>
      <w:r>
        <w:rPr>
          <w:rFonts w:ascii="Liberation Serif" w:hAnsi="Liberation Serif" w:cs="Liberation Serif"/>
          <w:sz w:val="28"/>
          <w:szCs w:val="28"/>
        </w:rPr>
        <w:t xml:space="preserve">) исходя из стоимости мероприятий по технологическому присоединению в соответствии с формулой (2):</w:t>
      </w:r>
      <w:r/>
    </w:p>
    <w:p>
      <w:pPr>
        <w:pStyle w:val="816"/>
        <w:contextualSpacing w:val="false"/>
        <w:ind w:firstLine="851"/>
        <w:jc w:val="center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jc w:val="center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 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несоц</w:t>
      </w:r>
      <w:r>
        <w:rPr>
          <w:rFonts w:ascii="Liberation Serif" w:hAnsi="Liberation Serif" w:cs="Liberation Serif"/>
          <w:sz w:val="28"/>
          <w:szCs w:val="28"/>
        </w:rPr>
        <w:t xml:space="preserve"> = </w:t>
      </w:r>
      <w:r>
        <w:rPr>
          <w:rFonts w:ascii="Liberation Serif" w:hAnsi="Liberation Serif" w:cs="Liberation Serif"/>
          <w:sz w:val="28"/>
          <w:szCs w:val="28"/>
        </w:rPr>
        <w:t xml:space="preserve">min</w:t>
      </w:r>
      <w:r>
        <w:rPr>
          <w:rFonts w:ascii="Liberation Serif" w:hAnsi="Liberation Serif" w:cs="Liberation Serif"/>
          <w:sz w:val="28"/>
          <w:szCs w:val="28"/>
        </w:rPr>
        <w:t xml:space="preserve"> {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станд.ст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несоц</w:t>
      </w:r>
      <w:r>
        <w:rPr>
          <w:rFonts w:ascii="Liberation Serif" w:hAnsi="Liberation Serif" w:cs="Liberation Serif"/>
          <w:sz w:val="28"/>
          <w:szCs w:val="28"/>
        </w:rPr>
        <w:t xml:space="preserve"> · N} (2),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где: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станд.ст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 - стоимость мероприятий по технологическому присоединению, рассчитанная с использованием стандартизированных тарифных ставок по утвержденной регулирующим органом формуле платы за технологическое присоединение, руб.;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несоц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(руб./кВт) в размере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-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с 01 января 2023 года по 30 июня 2023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года –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3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192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рублей (с учетом НДС) за каждый кВт запрашиваемой максимальной мощности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-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с 01 июля 2023 года по 31 декабря 2023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года –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4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 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256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рубле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й (с учетом НДС) за каждый кВт запрашиваемой максимальной мо</w:t>
      </w:r>
      <w:r>
        <w:rPr>
          <w:rFonts w:ascii="Liberation Serif" w:hAnsi="Liberation Serif" w:cs="Liberation Serif"/>
          <w:sz w:val="28"/>
          <w:szCs w:val="28"/>
        </w:rPr>
        <w:t xml:space="preserve">щности</w:t>
      </w:r>
      <w:r>
        <w:rPr>
          <w:rFonts w:ascii="Liberation Serif" w:hAnsi="Liberation Serif" w:cs="Liberation Serif"/>
          <w:sz w:val="28"/>
          <w:szCs w:val="28"/>
        </w:rPr>
        <w:t xml:space="preserve"> (включительно).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N - запрашиваемая максимальная мощность присоединяемых устройств, кВт.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</w:t>
      </w:r>
      <w:r>
        <w:rPr>
          <w:rFonts w:ascii="Liberation Serif" w:hAnsi="Liberation Serif" w:cs="Liberation Serif"/>
          <w:sz w:val="28"/>
          <w:szCs w:val="28"/>
        </w:rPr>
        <w:t xml:space="preserve">. В случае подачи заявки заявителем - юридическим лицом или индивидуальным предпринимателем в целях технологическог</w:t>
      </w:r>
      <w:r>
        <w:rPr>
          <w:rFonts w:ascii="Liberation Serif" w:hAnsi="Liberation Serif" w:cs="Liberation Serif"/>
          <w:sz w:val="28"/>
          <w:szCs w:val="28"/>
        </w:rPr>
        <w:t xml:space="preserve">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до 150 кВт включительно (с учетом ранее присоединенных в данной точке присоединения </w:t>
      </w:r>
      <w:r>
        <w:rPr>
          <w:rFonts w:ascii="Liberation Serif" w:hAnsi="Liberation Serif" w:cs="Liberation Serif"/>
          <w:sz w:val="28"/>
          <w:szCs w:val="28"/>
        </w:rPr>
        <w:t xml:space="preserve">энергопринимающих устройств), присоединяемых по третьей категории надежности к объектам электросетевого хозяйства</w:t>
      </w:r>
      <w:r>
        <w:rPr>
          <w:rFonts w:ascii="Liberation Serif" w:hAnsi="Liberation Serif" w:cs="Liberation Serif"/>
          <w:sz w:val="28"/>
          <w:szCs w:val="28"/>
        </w:rPr>
        <w:t xml:space="preserve"> сетевой организации на уровне напряжения 0,4 кВ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</w:t>
      </w:r>
      <w:r>
        <w:rPr>
          <w:rFonts w:ascii="Liberation Serif" w:hAnsi="Liberation Serif" w:cs="Liberation Serif"/>
          <w:sz w:val="28"/>
          <w:szCs w:val="28"/>
        </w:rPr>
        <w:t xml:space="preserve"> городах и поселках городского типа и не более 300 метров в сельской местности, в состав платы за технологическое присоединение энергопринимающих устройств не включать расходы, связанные со строительством объектов электросетевого хозяйства - от существующи</w:t>
      </w:r>
      <w:r>
        <w:rPr>
          <w:rFonts w:ascii="Liberation Serif" w:hAnsi="Liberation Serif" w:cs="Liberation Serif"/>
          <w:sz w:val="28"/>
          <w:szCs w:val="28"/>
        </w:rPr>
        <w:t xml:space="preserve">х объектов электросетевого хозяйства до присоединяемых энергопринимающих устройств и (или) объектов электроэнергетики, и плату за технологическое присоединение указанных объектов микрогенерации и (или) энергопринимающих устройств определять по формуле (3):</w:t>
      </w:r>
      <w:r/>
    </w:p>
    <w:p>
      <w:pPr>
        <w:pStyle w:val="816"/>
        <w:contextualSpacing w:val="false"/>
        <w:ind w:firstLine="851"/>
        <w:jc w:val="center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jc w:val="center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 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ЭПУ до 150+мкг</w:t>
      </w:r>
      <w:r>
        <w:rPr>
          <w:rFonts w:ascii="Liberation Serif" w:hAnsi="Liberation Serif" w:cs="Liberation Serif"/>
          <w:sz w:val="28"/>
          <w:szCs w:val="28"/>
        </w:rPr>
        <w:t xml:space="preserve"> = </w:t>
      </w:r>
      <w:r>
        <w:rPr>
          <w:rFonts w:ascii="Liberation Serif" w:hAnsi="Liberation Serif" w:cs="Liberation Serif"/>
          <w:sz w:val="28"/>
          <w:szCs w:val="28"/>
        </w:rPr>
        <w:t xml:space="preserve">min</w:t>
      </w:r>
      <w:r>
        <w:rPr>
          <w:rFonts w:ascii="Liberation Serif" w:hAnsi="Liberation Serif" w:cs="Liberation Serif"/>
          <w:sz w:val="28"/>
          <w:szCs w:val="28"/>
        </w:rPr>
        <w:t xml:space="preserve"> {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станд.ст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несоц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· N </w:t>
      </w:r>
      <w:r>
        <w:rPr>
          <w:rFonts w:ascii="Liberation Serif" w:hAnsi="Liberation Serif" w:cs="Liberation Serif"/>
          <w:sz w:val="28"/>
          <w:szCs w:val="28"/>
        </w:rPr>
        <w:t xml:space="preserve">}</w:t>
      </w:r>
      <w:r>
        <w:rPr>
          <w:rFonts w:ascii="Liberation Serif" w:hAnsi="Liberation Serif" w:cs="Liberation Serif"/>
          <w:sz w:val="28"/>
          <w:szCs w:val="28"/>
        </w:rPr>
        <w:t xml:space="preserve">+Р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ЭПУ до 150</w:t>
      </w:r>
      <w:r>
        <w:rPr>
          <w:rFonts w:ascii="Liberation Serif" w:hAnsi="Liberation Serif" w:cs="Liberation Serif"/>
          <w:sz w:val="28"/>
          <w:szCs w:val="28"/>
        </w:rPr>
        <w:t xml:space="preserve"> (3),</w:t>
      </w:r>
      <w:r/>
    </w:p>
    <w:p>
      <w:pPr>
        <w:pStyle w:val="816"/>
        <w:contextualSpacing w:val="false"/>
        <w:ind w:firstLine="851"/>
        <w:jc w:val="center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где: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станд.ст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  <w:t xml:space="preserve"> - стоимость мероприятий по технологическому присоединению, рассчитанная с использованием стандартизированных тарифных ставок по утвержденной регулирующим органом формуле платы за технологическое присоединение, руб.;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несоц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(руб./кВт) в размере</w:t>
      </w:r>
      <w:r>
        <w:rPr>
          <w:rFonts w:ascii="Liberation Serif" w:hAnsi="Liberation Serif" w:cs="Liberation Serif"/>
          <w:sz w:val="28"/>
          <w:szCs w:val="28"/>
        </w:rPr>
        <w:t xml:space="preserve">: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 01 января 2023 года по 30 июня 2023</w:t>
      </w:r>
      <w:r>
        <w:rPr>
          <w:rFonts w:ascii="Liberation Serif" w:hAnsi="Liberation Serif" w:cs="Liberation Serif"/>
          <w:sz w:val="28"/>
          <w:szCs w:val="28"/>
        </w:rPr>
        <w:t xml:space="preserve"> года – </w:t>
      </w:r>
      <w:r>
        <w:rPr>
          <w:rFonts w:ascii="Liberation Serif" w:hAnsi="Liberation Serif" w:cs="Liberation Serif"/>
          <w:sz w:val="28"/>
          <w:szCs w:val="28"/>
        </w:rPr>
        <w:t xml:space="preserve">3</w:t>
      </w:r>
      <w:r>
        <w:rPr>
          <w:rFonts w:ascii="Liberation Serif" w:hAnsi="Liberation Serif" w:cs="Liberation Serif"/>
          <w:sz w:val="28"/>
          <w:szCs w:val="28"/>
        </w:rPr>
        <w:t xml:space="preserve"> 192</w:t>
      </w:r>
      <w:r>
        <w:rPr>
          <w:rFonts w:ascii="Liberation Serif" w:hAnsi="Liberation Serif" w:cs="Liberation Serif"/>
          <w:sz w:val="28"/>
          <w:szCs w:val="28"/>
        </w:rPr>
        <w:t xml:space="preserve"> руб./кВт </w:t>
        <w:br/>
        <w:t xml:space="preserve">(с учетом НДС);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с 01 июля 2023 года по 31 декабря 2023</w:t>
      </w:r>
      <w:r>
        <w:rPr>
          <w:rFonts w:ascii="Liberation Serif" w:hAnsi="Liberation Serif" w:cs="Liberation Serif"/>
          <w:sz w:val="28"/>
          <w:szCs w:val="28"/>
        </w:rPr>
        <w:t xml:space="preserve"> года – </w:t>
      </w:r>
      <w:r>
        <w:rPr>
          <w:rFonts w:ascii="Liberation Serif" w:hAnsi="Liberation Serif" w:cs="Liberation Serif"/>
          <w:sz w:val="28"/>
          <w:szCs w:val="28"/>
        </w:rPr>
        <w:t xml:space="preserve">4 256</w:t>
      </w:r>
      <w:r>
        <w:rPr>
          <w:rFonts w:ascii="Liberation Serif" w:hAnsi="Liberation Serif" w:cs="Liberation Serif"/>
          <w:sz w:val="28"/>
          <w:szCs w:val="28"/>
        </w:rPr>
        <w:t xml:space="preserve"> руб./кВт </w:t>
        <w:br/>
        <w:t xml:space="preserve">(с учетом НДС)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N - запрашиваемая максимальная мощность присоединяемых устройств, кВт.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Р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ЭПУ до 150 </w:t>
      </w:r>
      <w:r>
        <w:rPr>
          <w:rFonts w:ascii="Liberation Serif" w:hAnsi="Liberation Serif" w:cs="Liberation Serif"/>
          <w:sz w:val="28"/>
          <w:szCs w:val="28"/>
        </w:rPr>
        <w:t xml:space="preserve">– плата за технологическое присоединение энергопринимающих устройств максимальной мощностью до 150 кВт включительно (с учетом ранее присоединен</w:t>
      </w:r>
      <w:r>
        <w:rPr>
          <w:rFonts w:ascii="Liberation Serif" w:hAnsi="Liberation Serif" w:cs="Liberation Serif"/>
          <w:sz w:val="28"/>
          <w:szCs w:val="28"/>
        </w:rPr>
        <w:t xml:space="preserve">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местности, определяемая в соответствии </w:t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 xml:space="preserve">пу</w:t>
      </w:r>
      <w:r>
        <w:rPr>
          <w:rFonts w:ascii="Liberation Serif" w:hAnsi="Liberation Serif" w:cs="Liberation Serif"/>
          <w:sz w:val="28"/>
          <w:szCs w:val="28"/>
        </w:rPr>
        <w:t xml:space="preserve">нктом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12 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Методических указаний по определению размера платы за технологическое присоединение к электрическим сетям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,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 утвержденных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приказом ФАС России от 30 июня 2022 года № 490/22; рублей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. При технологическом присо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един</w:t>
      </w:r>
      <w:r>
        <w:rPr>
          <w:rFonts w:ascii="Liberation Serif" w:hAnsi="Liberation Serif" w:cs="Liberation Serif"/>
          <w:sz w:val="28"/>
          <w:szCs w:val="28"/>
        </w:rPr>
        <w:t xml:space="preserve">ении только объектов микрогенерации P</w:t>
      </w:r>
      <w:r>
        <w:rPr>
          <w:rFonts w:ascii="Liberation Serif" w:hAnsi="Liberation Serif" w:cs="Liberation Serif"/>
          <w:sz w:val="28"/>
          <w:szCs w:val="28"/>
          <w:vertAlign w:val="subscript"/>
        </w:rPr>
        <w:t xml:space="preserve">ЭПУ до 150</w:t>
      </w:r>
      <w:r>
        <w:rPr>
          <w:rFonts w:ascii="Liberation Serif" w:hAnsi="Liberation Serif" w:cs="Liberation Serif"/>
          <w:sz w:val="28"/>
          <w:szCs w:val="28"/>
        </w:rPr>
        <w:t xml:space="preserve"> приравнивается к нулю.</w:t>
      </w:r>
      <w:r/>
    </w:p>
    <w:p>
      <w:pPr>
        <w:pStyle w:val="816"/>
        <w:contextualSpacing w:val="false"/>
        <w:ind w:firstLine="851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</w:t>
      </w:r>
      <w:r>
        <w:rPr>
          <w:rFonts w:ascii="Liberation Serif" w:hAnsi="Liberation Serif" w:cs="Liberation Serif"/>
          <w:sz w:val="28"/>
          <w:szCs w:val="28"/>
        </w:rPr>
        <w:t xml:space="preserve">. Настоящий приказ вступает в силу с 01 января </w:t>
      </w:r>
      <w:r>
        <w:rPr>
          <w:rFonts w:ascii="Liberation Serif" w:hAnsi="Liberation Serif" w:cs="Liberation Serif"/>
          <w:sz w:val="28"/>
          <w:szCs w:val="28"/>
        </w:rPr>
        <w:t xml:space="preserve">2023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  <w:r/>
    </w:p>
    <w:p>
      <w:pPr>
        <w:pStyle w:val="816"/>
        <w:contextualSpacing w:val="false"/>
        <w:ind w:firstLine="540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ind w:firstLine="540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ind w:firstLine="540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ind w:firstLine="540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16"/>
        <w:contextualSpacing w:val="false"/>
        <w:ind w:firstLine="0"/>
        <w:jc w:val="both"/>
        <w:spacing w:lineRule="auto" w:line="240" w:before="0" w:beforeAutospacing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 w:eastAsia="Liberation Serif"/>
          <w:bCs/>
          <w:sz w:val="28"/>
        </w:rPr>
        <w:t xml:space="preserve">Директор департамента                                                                                 Д.Н. Афанасьев</w:t>
      </w:r>
      <w:r>
        <w:rPr>
          <w:rFonts w:ascii="Liberation Serif" w:hAnsi="Liberation Serif" w:cs="Liberation Serif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rPr>
      <w:rFonts w:ascii="Arial" w:hAnsi="Arial" w:cs="Arial" w:eastAsiaTheme="minorEastAsia"/>
      <w:sz w:val="20"/>
      <w:lang w:eastAsia="ru-RU"/>
    </w:rPr>
    <w:pPr>
      <w:spacing w:lineRule="auto" w:line="240" w:after="0"/>
      <w:widowControl w:val="off"/>
    </w:pPr>
  </w:style>
  <w:style w:type="paragraph" w:styleId="817" w:customStyle="1">
    <w:name w:val="ConsPlusTitle"/>
    <w:rPr>
      <w:rFonts w:ascii="Arial" w:hAnsi="Arial" w:cs="Arial" w:eastAsiaTheme="minorEastAsia"/>
      <w:b/>
      <w:sz w:val="20"/>
      <w:lang w:eastAsia="ru-RU"/>
    </w:rPr>
    <w:pPr>
      <w:spacing w:lineRule="auto" w:line="240" w:after="0"/>
      <w:widowControl w:val="off"/>
    </w:pPr>
  </w:style>
  <w:style w:type="paragraph" w:styleId="818" w:customStyle="1">
    <w:name w:val="ConsPlusTitlePage"/>
    <w:rPr>
      <w:rFonts w:ascii="Tahoma" w:hAnsi="Tahoma" w:cs="Tahoma" w:eastAsiaTheme="minorEastAsia"/>
      <w:sz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E743DB87D8FECF50A1DE1B92F6A39690519C26644CCFFB70D98974D85D15EF8A395AE6E94DD6DFF24D22020BFF28EC02DC5EB80C7AB4C9207Cp4F" TargetMode="External"/><Relationship Id="rId11" Type="http://schemas.openxmlformats.org/officeDocument/2006/relationships/hyperlink" Target="consultantplus://offline/ref=E743DB87D8FECF50A1DE1B92F6A39690569825654EC6FB70D98974D85D15EF8A395AE6EA45DD8BA5017C5B5ABE63E000C742B90C76p6F" TargetMode="External"/><Relationship Id="rId12" Type="http://schemas.openxmlformats.org/officeDocument/2006/relationships/hyperlink" Target="consultantplus://offline/ref=E743DB87D8FECF50A1DE1B92F6A39690569825654EC6FB70D98974D85D15EF8A395AE6ED45DD8BA5017C5B5ABE63E000C742B90C76p6F" TargetMode="External"/><Relationship Id="rId13" Type="http://schemas.openxmlformats.org/officeDocument/2006/relationships/hyperlink" Target="consultantplus://offline/ref=E743DB87D8FECF50A1DE1B92F6A39690569825654EC6FB70D98974D85D15EF8A395AE6E94DD6DAF54622020BFF28EC02DC5EB80C7AB4C9207Cp4F" TargetMode="External"/><Relationship Id="rId14" Type="http://schemas.openxmlformats.org/officeDocument/2006/relationships/hyperlink" Target="consultantplus://offline/ref=E743DB87D8FECF50A1DE1B92F6A39690569825654EC6FB70D98974D85D15EF8A395AE6E94CD2D4A0146D0357BB78FF03DB5EBB0E667Bp4F" TargetMode="External"/><Relationship Id="rId15" Type="http://schemas.openxmlformats.org/officeDocument/2006/relationships/hyperlink" Target="consultantplus://offline/ref=E743DB87D8FECF50A1DE1B92F6A39690569A246F42CDFB70D98974D85D15EF8A395AE6EA4AD7D4A0146D0357BB78FF03DB5EBB0E667Bp4F" TargetMode="External"/><Relationship Id="rId16" Type="http://schemas.openxmlformats.org/officeDocument/2006/relationships/hyperlink" Target="consultantplus://offline/ref=E743DB87D8FECF50A1DE1B92F6A39690569B266A4BC6FB70D98974D85D15EF8A395AE6E944DD8BA5017C5B5ABE63E000C742B90C76p6F" TargetMode="External"/><Relationship Id="rId17" Type="http://schemas.openxmlformats.org/officeDocument/2006/relationships/hyperlink" Target="consultantplus://offline/ref=E743DB87D8FECF50A1DE1B92F6A39690569B266A4BC8FB70D98974D85D15EF8A395AE6ED46828EB01024565FA57CE31CDB40BB70pCF" TargetMode="External"/><Relationship Id="rId18" Type="http://schemas.openxmlformats.org/officeDocument/2006/relationships/hyperlink" Target="consultantplus://offline/ref=E743DB87D8FECF50A1DE1B92F6A3969051932C694FC9FB70D98974D85D15EF8A395AE6E94DD3D6F44122020BFF28EC02DC5EB80C7AB4C9207Cp4F" TargetMode="External"/><Relationship Id="rId19" Type="http://schemas.openxmlformats.org/officeDocument/2006/relationships/hyperlink" Target="consultantplus://offline/ref=E743DB87D8FECF50A1DE1B92F6A39690569B266B43CDFB70D98974D85D15EF8A395AE6E94DD6DFF44D22020BFF28EC02DC5EB80C7AB4C9207Cp4F" TargetMode="External"/><Relationship Id="rId20" Type="http://schemas.openxmlformats.org/officeDocument/2006/relationships/hyperlink" Target="consultantplus://offline/ref=E743DB87D8FECF50A1DE1B92F6A39690539325654DC8FB70D98974D85D15EF8A395AE6E94DD6DFF44022020BFF28EC02DC5EB80C7AB4C9207Cp4F" TargetMode="External"/><Relationship Id="rId21" Type="http://schemas.openxmlformats.org/officeDocument/2006/relationships/hyperlink" Target="consultantplus://offline/ref=E743DB87D8FECF50A1DE1B92F6A39690539325654DC8FB70D98974D85D15EF8A395AE6EC46828EB01024565FA57CE31CDB40BB70pCF" TargetMode="External"/><Relationship Id="rId22" Type="http://schemas.openxmlformats.org/officeDocument/2006/relationships/hyperlink" Target="consultantplus://offline/ref=E743DB87D8FECF50A1DE1B92F6A39690569A25684BC4A67AD1D078DA5A1AB08F3E4BE6E848C8DEF65B2B56587Bp9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Катошин</dc:creator>
  <cp:keywords/>
  <dc:description/>
  <cp:revision>9</cp:revision>
  <dcterms:created xsi:type="dcterms:W3CDTF">2022-12-05T05:41:00Z</dcterms:created>
  <dcterms:modified xsi:type="dcterms:W3CDTF">2022-12-29T07:07:45Z</dcterms:modified>
</cp:coreProperties>
</file>